
<file path=[Content_Types].xml><?xml version="1.0" encoding="utf-8"?>
<Types xmlns="http://schemas.openxmlformats.org/package/2006/content-types">
  <Default Extension="png" ContentType="image/png"/>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6352B" w14:textId="3CEC9D36" w:rsidR="00247ED7" w:rsidRDefault="00DC2425" w:rsidP="00C05330">
      <w:pPr>
        <w:pStyle w:val="10"/>
        <w:rPr>
          <w:sz w:val="32"/>
          <w:szCs w:val="32"/>
          <w:lang w:val="en-US"/>
        </w:rPr>
      </w:pPr>
      <w:bookmarkStart w:id="0" w:name="_GoBack"/>
      <w:bookmarkEnd w:id="0"/>
      <w:r>
        <w:rPr>
          <w:sz w:val="32"/>
          <w:szCs w:val="32"/>
          <w:lang w:val="en-US"/>
        </w:rPr>
        <w:t>Welfare State vs. Market Forces</w:t>
      </w:r>
      <w:r w:rsidR="00C05330">
        <w:rPr>
          <w:sz w:val="32"/>
          <w:szCs w:val="32"/>
          <w:lang w:val="en-US"/>
        </w:rPr>
        <w:t xml:space="preserve"> in a </w:t>
      </w:r>
      <w:r>
        <w:rPr>
          <w:sz w:val="32"/>
          <w:szCs w:val="32"/>
          <w:lang w:val="en-US"/>
        </w:rPr>
        <w:t>Globalization</w:t>
      </w:r>
      <w:r w:rsidR="00A50639">
        <w:rPr>
          <w:sz w:val="32"/>
          <w:szCs w:val="32"/>
          <w:lang w:val="en-US"/>
        </w:rPr>
        <w:t xml:space="preserve"> </w:t>
      </w:r>
      <w:r w:rsidR="00C05330">
        <w:rPr>
          <w:sz w:val="32"/>
          <w:szCs w:val="32"/>
          <w:lang w:val="en-US"/>
        </w:rPr>
        <w:t>Era</w:t>
      </w:r>
    </w:p>
    <w:p w14:paraId="22597A87" w14:textId="20C6EDB3" w:rsidR="00876C95" w:rsidRDefault="00633165" w:rsidP="00876C95">
      <w:pPr>
        <w:pStyle w:val="10"/>
        <w:rPr>
          <w:lang w:val="en-US"/>
        </w:rPr>
      </w:pPr>
      <w:r>
        <w:rPr>
          <w:lang w:val="en-US"/>
        </w:rPr>
        <w:t xml:space="preserve">                                                             </w:t>
      </w:r>
      <w:r w:rsidR="00876C95">
        <w:rPr>
          <w:lang w:val="en-US"/>
        </w:rPr>
        <w:t>by</w:t>
      </w:r>
    </w:p>
    <w:p w14:paraId="1608E047" w14:textId="5DBE42FD" w:rsidR="00876C95" w:rsidRPr="00970FB1" w:rsidRDefault="00876C95" w:rsidP="00876C95">
      <w:pPr>
        <w:pStyle w:val="10"/>
      </w:pPr>
      <w:r w:rsidRPr="00970FB1">
        <w:t xml:space="preserve">Assaf Razin </w:t>
      </w:r>
      <w:r>
        <w:t xml:space="preserve">                                                 </w:t>
      </w:r>
      <w:r w:rsidRPr="00970FB1">
        <w:t xml:space="preserve"> </w:t>
      </w:r>
      <w:r>
        <w:t xml:space="preserve">                      Efraim</w:t>
      </w:r>
      <w:r w:rsidRPr="00970FB1">
        <w:t xml:space="preserve"> Sadka</w:t>
      </w:r>
    </w:p>
    <w:p w14:paraId="6D90C14F" w14:textId="77777777" w:rsidR="00876C95" w:rsidRDefault="00876C95" w:rsidP="00876C95">
      <w:pPr>
        <w:pStyle w:val="10"/>
      </w:pPr>
      <w:r>
        <w:t>Th</w:t>
      </w:r>
      <w:r w:rsidRPr="00876C95">
        <w:t>e</w:t>
      </w:r>
      <w:r>
        <w:t xml:space="preserve"> Eitan Berglas School of Economics                             the Eitan Berglas School of Economics</w:t>
      </w:r>
    </w:p>
    <w:p w14:paraId="6554D268" w14:textId="77777777" w:rsidR="00876C95" w:rsidRDefault="00876C95" w:rsidP="00876C95">
      <w:pPr>
        <w:pStyle w:val="10"/>
      </w:pPr>
      <w:r w:rsidRPr="00970FB1">
        <w:t>Tel Aviv University</w:t>
      </w:r>
      <w:r>
        <w:t xml:space="preserve">                                                                Tel Aviv University</w:t>
      </w:r>
    </w:p>
    <w:p w14:paraId="0218D067" w14:textId="77777777" w:rsidR="00876C95" w:rsidRDefault="00876C95" w:rsidP="00876C95">
      <w:pPr>
        <w:pStyle w:val="10"/>
      </w:pPr>
      <w:r>
        <w:t>Tel Aviv, 69978, Israel                                                          Tel Aviv, 69978, Israel</w:t>
      </w:r>
    </w:p>
    <w:p w14:paraId="0CFFB31F" w14:textId="29D06C7D" w:rsidR="00876C95" w:rsidRPr="00876C95" w:rsidRDefault="0067442C" w:rsidP="00876C95">
      <w:pPr>
        <w:pStyle w:val="10"/>
      </w:pPr>
      <w:hyperlink r:id="rId9" w:history="1">
        <w:r w:rsidR="00876C95" w:rsidRPr="00876C95">
          <w:t>razin@tauex.tau.ac.il</w:t>
        </w:r>
      </w:hyperlink>
      <w:r w:rsidR="00876C95" w:rsidRPr="00876C95">
        <w:t xml:space="preserve">                                                             </w:t>
      </w:r>
      <w:hyperlink r:id="rId10" w:history="1">
        <w:r w:rsidR="00876C95" w:rsidRPr="00876C95">
          <w:t>sadka@tauex.tau.ac.il</w:t>
        </w:r>
      </w:hyperlink>
    </w:p>
    <w:p w14:paraId="70E71DE7" w14:textId="0A99A8DF" w:rsidR="006F29AB" w:rsidRDefault="00876C95" w:rsidP="00633165">
      <w:pPr>
        <w:pStyle w:val="10"/>
      </w:pPr>
      <w:r w:rsidRPr="00876C95">
        <w:t>and</w:t>
      </w:r>
      <w:r w:rsidR="00633165">
        <w:t>,</w:t>
      </w:r>
      <w:r w:rsidRPr="00876C95">
        <w:t xml:space="preserve"> </w:t>
      </w:r>
      <w:r w:rsidR="00633165">
        <w:t xml:space="preserve">                                     </w:t>
      </w:r>
      <w:r w:rsidR="006F29AB">
        <w:t>Alexander Schwemmer</w:t>
      </w:r>
    </w:p>
    <w:p w14:paraId="4C35F8D8" w14:textId="77777777" w:rsidR="00144806" w:rsidRDefault="006F29AB" w:rsidP="006F29AB">
      <w:pPr>
        <w:pStyle w:val="10"/>
        <w:rPr>
          <w:rFonts w:ascii="inherit" w:hAnsi="inherit"/>
          <w:color w:val="333333"/>
          <w:shd w:val="clear" w:color="auto" w:fill="FFFFFF"/>
        </w:rPr>
      </w:pPr>
      <w:r>
        <w:rPr>
          <w:rFonts w:ascii="Verdana" w:hAnsi="Verdana"/>
          <w:color w:val="333333"/>
          <w:sz w:val="18"/>
          <w:szCs w:val="18"/>
        </w:rPr>
        <w:br/>
      </w:r>
      <w:r>
        <w:rPr>
          <w:rFonts w:ascii="inherit" w:hAnsi="inherit"/>
          <w:color w:val="333333"/>
          <w:shd w:val="clear" w:color="auto" w:fill="FFFFFF"/>
        </w:rPr>
        <w:t xml:space="preserve">Department of Economics, </w:t>
      </w:r>
      <w:r w:rsidR="00876C95" w:rsidRPr="00876C95">
        <w:rPr>
          <w:rFonts w:ascii="inherit" w:hAnsi="inherit"/>
          <w:color w:val="333333"/>
          <w:shd w:val="clear" w:color="auto" w:fill="FFFFFF"/>
        </w:rPr>
        <w:t xml:space="preserve"> </w:t>
      </w:r>
      <w:r w:rsidR="00876C95">
        <w:rPr>
          <w:rFonts w:ascii="inherit" w:hAnsi="inherit"/>
          <w:color w:val="333333"/>
          <w:shd w:val="clear" w:color="auto" w:fill="FFFFFF"/>
        </w:rPr>
        <w:t>Ludwig-Maximilians-Universität</w:t>
      </w:r>
      <w:r>
        <w:rPr>
          <w:rFonts w:ascii="inherit" w:hAnsi="inherit"/>
          <w:color w:val="333333"/>
          <w:shd w:val="clear" w:color="auto" w:fill="FFFFFF"/>
        </w:rPr>
        <w:t xml:space="preserve">, </w:t>
      </w:r>
      <w:r w:rsidR="00876C95">
        <w:rPr>
          <w:rFonts w:ascii="inherit" w:hAnsi="inherit"/>
          <w:color w:val="333333"/>
          <w:shd w:val="clear" w:color="auto" w:fill="FFFFFF"/>
        </w:rPr>
        <w:t xml:space="preserve">Geschwister-Scholl-Platz </w:t>
      </w:r>
      <w:r>
        <w:rPr>
          <w:rFonts w:ascii="inherit" w:hAnsi="inherit"/>
          <w:color w:val="333333"/>
          <w:shd w:val="clear" w:color="auto" w:fill="FFFFFF"/>
        </w:rPr>
        <w:t xml:space="preserve">Munich, </w:t>
      </w:r>
    </w:p>
    <w:p w14:paraId="5405ACE6" w14:textId="43F0395F" w:rsidR="006F29AB" w:rsidRDefault="00633165" w:rsidP="006F29AB">
      <w:pPr>
        <w:pStyle w:val="10"/>
        <w:rPr>
          <w:rFonts w:ascii="inherit" w:hAnsi="inherit"/>
          <w:color w:val="333333"/>
          <w:shd w:val="clear" w:color="auto" w:fill="FFFFFF"/>
        </w:rPr>
      </w:pPr>
      <w:r>
        <w:rPr>
          <w:rFonts w:ascii="inherit" w:hAnsi="inherit"/>
          <w:color w:val="333333"/>
          <w:shd w:val="clear" w:color="auto" w:fill="FFFFFF"/>
        </w:rPr>
        <w:t xml:space="preserve">                                                   </w:t>
      </w:r>
      <w:r w:rsidR="006F29AB">
        <w:rPr>
          <w:rFonts w:ascii="inherit" w:hAnsi="inherit"/>
          <w:color w:val="333333"/>
          <w:shd w:val="clear" w:color="auto" w:fill="FFFFFF"/>
        </w:rPr>
        <w:t>80539, Germany,</w:t>
      </w:r>
    </w:p>
    <w:p w14:paraId="5273FC0C" w14:textId="71D5BA7D" w:rsidR="00876C95" w:rsidRDefault="006F29AB" w:rsidP="006F29AB">
      <w:pPr>
        <w:pStyle w:val="10"/>
      </w:pPr>
      <w:r>
        <w:rPr>
          <w:rFonts w:ascii="inherit" w:hAnsi="inherit"/>
          <w:color w:val="333333"/>
          <w:shd w:val="clear" w:color="auto" w:fill="FFFFFF"/>
        </w:rPr>
        <w:t xml:space="preserve"> </w:t>
      </w:r>
      <w:r w:rsidR="00633165">
        <w:rPr>
          <w:rFonts w:ascii="inherit" w:hAnsi="inherit"/>
          <w:color w:val="333333"/>
          <w:shd w:val="clear" w:color="auto" w:fill="FFFFFF"/>
        </w:rPr>
        <w:t xml:space="preserve">                                      </w:t>
      </w:r>
      <w:hyperlink r:id="rId11" w:history="1">
        <w:r w:rsidR="00A36BA2" w:rsidRPr="00240790">
          <w:rPr>
            <w:rStyle w:val="Lienhypertexte"/>
          </w:rPr>
          <w:t>alexander.schwemmer@outlook.com</w:t>
        </w:r>
      </w:hyperlink>
    </w:p>
    <w:p w14:paraId="0E636BA4" w14:textId="1A66274A" w:rsidR="00A36BA2" w:rsidRPr="006F29AB" w:rsidRDefault="00A36BA2" w:rsidP="0050407E">
      <w:pPr>
        <w:pStyle w:val="10"/>
      </w:pPr>
      <w:r>
        <w:t xml:space="preserve">August </w:t>
      </w:r>
      <w:r w:rsidR="0050407E">
        <w:t>23</w:t>
      </w:r>
      <w:r>
        <w:t>, 2019</w:t>
      </w:r>
    </w:p>
    <w:p w14:paraId="4BE13E4A" w14:textId="77777777" w:rsidR="00876C95" w:rsidRPr="00876C95" w:rsidRDefault="00876C95" w:rsidP="00876C95">
      <w:pPr>
        <w:pStyle w:val="10"/>
      </w:pPr>
    </w:p>
    <w:p w14:paraId="4A1EAE13" w14:textId="77777777" w:rsidR="00876C95" w:rsidRPr="00876C95" w:rsidRDefault="00876C95" w:rsidP="00247ED7">
      <w:pPr>
        <w:pStyle w:val="10"/>
      </w:pPr>
    </w:p>
    <w:p w14:paraId="3537220A" w14:textId="65380168" w:rsidR="00233ADA" w:rsidRDefault="00233ADA" w:rsidP="00A805F1">
      <w:pPr>
        <w:pStyle w:val="10"/>
        <w:rPr>
          <w:b/>
          <w:bCs/>
        </w:rPr>
      </w:pPr>
      <w:r w:rsidRPr="00233ADA">
        <w:rPr>
          <w:b/>
          <w:bCs/>
        </w:rPr>
        <w:t>Abstract</w:t>
      </w:r>
    </w:p>
    <w:p w14:paraId="6B4A7E8D" w14:textId="3F8955F0" w:rsidR="00633165" w:rsidRDefault="000D5197" w:rsidP="00BB0C56">
      <w:pPr>
        <w:pStyle w:val="10"/>
      </w:pPr>
      <w:r>
        <w:rPr>
          <w:lang w:val="en-US"/>
        </w:rPr>
        <w:lastRenderedPageBreak/>
        <w:t>Globalization</w:t>
      </w:r>
      <w:r w:rsidR="00C05330">
        <w:rPr>
          <w:lang w:val="en-US"/>
        </w:rPr>
        <w:t xml:space="preserve"> radically changes</w:t>
      </w:r>
      <w:r>
        <w:rPr>
          <w:lang w:val="en-US"/>
        </w:rPr>
        <w:t xml:space="preserve"> </w:t>
      </w:r>
      <w:r w:rsidR="00C05330">
        <w:rPr>
          <w:lang w:val="en-US"/>
        </w:rPr>
        <w:t>income distribution and triggers intense international tax</w:t>
      </w:r>
      <w:r>
        <w:rPr>
          <w:lang w:val="en-US"/>
        </w:rPr>
        <w:t xml:space="preserve"> competition</w:t>
      </w:r>
      <w:r w:rsidR="00EE0B89">
        <w:rPr>
          <w:lang w:val="en-US"/>
        </w:rPr>
        <w:t>, and</w:t>
      </w:r>
      <w:r w:rsidR="00BB0C56">
        <w:rPr>
          <w:lang w:val="en-US"/>
        </w:rPr>
        <w:t xml:space="preserve">, </w:t>
      </w:r>
      <w:r w:rsidR="00EE0B89">
        <w:rPr>
          <w:lang w:val="en-US"/>
        </w:rPr>
        <w:t>consequently</w:t>
      </w:r>
      <w:r w:rsidR="00BB0C56">
        <w:rPr>
          <w:lang w:val="en-US"/>
        </w:rPr>
        <w:t>,</w:t>
      </w:r>
      <w:r w:rsidR="00C05330">
        <w:rPr>
          <w:lang w:val="en-US"/>
        </w:rPr>
        <w:t xml:space="preserve"> entails </w:t>
      </w:r>
      <w:r w:rsidR="00EE0B89">
        <w:rPr>
          <w:lang w:val="en-US"/>
        </w:rPr>
        <w:t>the</w:t>
      </w:r>
      <w:r w:rsidR="00C05330">
        <w:rPr>
          <w:lang w:val="en-US"/>
        </w:rPr>
        <w:t xml:space="preserve"> extensive restructuring of the welfare state. </w:t>
      </w:r>
      <w:r>
        <w:rPr>
          <w:lang w:val="en-US"/>
        </w:rPr>
        <w:t xml:space="preserve"> </w:t>
      </w:r>
      <w:r w:rsidR="00933C90" w:rsidRPr="00933C90">
        <w:rPr>
          <w:lang w:val="en-US"/>
        </w:rPr>
        <w:t>We an</w:t>
      </w:r>
      <w:r w:rsidR="00974F19">
        <w:rPr>
          <w:lang w:val="en-US"/>
        </w:rPr>
        <w:t xml:space="preserve">alyze a parsimonious model of an </w:t>
      </w:r>
      <w:r w:rsidR="00933C90" w:rsidRPr="00933C90">
        <w:rPr>
          <w:lang w:val="en-US"/>
        </w:rPr>
        <w:t xml:space="preserve">open </w:t>
      </w:r>
      <w:r w:rsidR="003A2B55" w:rsidRPr="00933C90">
        <w:rPr>
          <w:lang w:val="en-US"/>
        </w:rPr>
        <w:t>economy</w:t>
      </w:r>
      <w:r w:rsidR="003A2B55">
        <w:rPr>
          <w:lang w:val="en-US"/>
        </w:rPr>
        <w:t>,</w:t>
      </w:r>
      <w:r w:rsidR="00974F19">
        <w:rPr>
          <w:lang w:val="en-US"/>
        </w:rPr>
        <w:t xml:space="preserve"> in its trade and finance transactions with the rest of the world</w:t>
      </w:r>
      <w:r w:rsidR="00933C90" w:rsidRPr="00933C90">
        <w:rPr>
          <w:lang w:val="en-US"/>
        </w:rPr>
        <w:t xml:space="preserve">, governed </w:t>
      </w:r>
      <w:r w:rsidR="00FF2F26" w:rsidRPr="00933C90">
        <w:rPr>
          <w:lang w:val="en-US"/>
        </w:rPr>
        <w:t>by</w:t>
      </w:r>
      <w:r w:rsidR="006455E6">
        <w:rPr>
          <w:lang w:val="en-US"/>
        </w:rPr>
        <w:t xml:space="preserve"> </w:t>
      </w:r>
      <w:r w:rsidR="00974F19">
        <w:rPr>
          <w:lang w:val="en-US"/>
        </w:rPr>
        <w:t xml:space="preserve">voter-majority-controlled </w:t>
      </w:r>
      <w:r w:rsidR="003A2B55" w:rsidRPr="00933C90">
        <w:rPr>
          <w:lang w:val="en-US"/>
        </w:rPr>
        <w:t>welfare</w:t>
      </w:r>
      <w:r w:rsidR="003A2B55">
        <w:rPr>
          <w:lang w:val="en-US"/>
        </w:rPr>
        <w:t xml:space="preserve"> state</w:t>
      </w:r>
      <w:r w:rsidR="00933C90" w:rsidRPr="00933C90">
        <w:rPr>
          <w:lang w:val="en-US"/>
        </w:rPr>
        <w:t xml:space="preserve">. </w:t>
      </w:r>
    </w:p>
    <w:p w14:paraId="13BEB0ED" w14:textId="76794367" w:rsidR="00EE0B89" w:rsidRDefault="00EE0B89" w:rsidP="00BB0C56">
      <w:pPr>
        <w:pStyle w:val="10"/>
      </w:pPr>
      <w:r>
        <w:t xml:space="preserve">We find that </w:t>
      </w:r>
      <w:r w:rsidRPr="009960CD">
        <w:rPr>
          <w:lang w:val="en-US"/>
        </w:rPr>
        <w:t xml:space="preserve">when the </w:t>
      </w:r>
      <w:r>
        <w:t xml:space="preserve">country is </w:t>
      </w:r>
      <w:r w:rsidRPr="009960CD">
        <w:rPr>
          <w:lang w:val="en-US"/>
        </w:rPr>
        <w:t xml:space="preserve">capital-abundant relative to the rest of the world, </w:t>
      </w:r>
      <w:r>
        <w:rPr>
          <w:lang w:val="en-US"/>
        </w:rPr>
        <w:t xml:space="preserve">or </w:t>
      </w:r>
      <w:r w:rsidR="00BB0C56">
        <w:rPr>
          <w:lang w:val="en-US"/>
        </w:rPr>
        <w:t xml:space="preserve">when </w:t>
      </w:r>
      <w:r>
        <w:rPr>
          <w:lang w:val="en-US"/>
        </w:rPr>
        <w:t>it exhibits strong saving propensity</w:t>
      </w:r>
      <w:r w:rsidR="000C0A55">
        <w:rPr>
          <w:lang w:val="en-US"/>
        </w:rPr>
        <w:t>,</w:t>
      </w:r>
      <w:r>
        <w:t xml:space="preserve"> </w:t>
      </w:r>
      <w:r w:rsidR="00BB0C56">
        <w:t>a welfare state</w:t>
      </w:r>
      <w:r w:rsidR="000C0A55">
        <w:t xml:space="preserve"> </w:t>
      </w:r>
      <w:r w:rsidR="00BB0C56">
        <w:t xml:space="preserve"> governed by the </w:t>
      </w:r>
      <w:r>
        <w:t xml:space="preserve"> </w:t>
      </w:r>
      <w:r w:rsidRPr="009960CD">
        <w:rPr>
          <w:lang w:val="en-US"/>
        </w:rPr>
        <w:t>skilled-rich</w:t>
      </w:r>
      <w:r>
        <w:t xml:space="preserve"> magnif</w:t>
      </w:r>
      <w:r w:rsidR="00BB0C56">
        <w:t>ies</w:t>
      </w:r>
      <w:r>
        <w:t xml:space="preserve">  the i</w:t>
      </w:r>
      <w:r w:rsidR="00A453FF">
        <w:t>n</w:t>
      </w:r>
      <w:r>
        <w:t xml:space="preserve">tensity of  globalization.  </w:t>
      </w:r>
      <w:r w:rsidR="00BB0C56">
        <w:t xml:space="preserve">In contrast, </w:t>
      </w:r>
      <w:r w:rsidR="00BB0C56" w:rsidRPr="009960CD">
        <w:rPr>
          <w:lang w:val="en-US"/>
        </w:rPr>
        <w:t xml:space="preserve">when the </w:t>
      </w:r>
      <w:r w:rsidR="00BB0C56">
        <w:t xml:space="preserve">country is </w:t>
      </w:r>
      <w:r w:rsidR="00BB0C56">
        <w:rPr>
          <w:lang w:val="en-US"/>
        </w:rPr>
        <w:t xml:space="preserve">labor </w:t>
      </w:r>
      <w:r w:rsidR="00BB0C56" w:rsidRPr="009960CD">
        <w:rPr>
          <w:lang w:val="en-US"/>
        </w:rPr>
        <w:t xml:space="preserve">abundant relative to the rest of the world, </w:t>
      </w:r>
      <w:r w:rsidR="00BB0C56">
        <w:rPr>
          <w:lang w:val="en-US"/>
        </w:rPr>
        <w:t xml:space="preserve">or it exhibits slow saving propensity, a welfare state governed by </w:t>
      </w:r>
      <w:r w:rsidR="00BB0C56">
        <w:t xml:space="preserve"> the un</w:t>
      </w:r>
      <w:r w:rsidR="00BB0C56" w:rsidRPr="009960CD">
        <w:rPr>
          <w:lang w:val="en-US"/>
        </w:rPr>
        <w:t>skilled-</w:t>
      </w:r>
      <w:r w:rsidR="00BB0C56">
        <w:rPr>
          <w:lang w:val="en-US"/>
        </w:rPr>
        <w:t>poor</w:t>
      </w:r>
      <w:r w:rsidR="00BB0C56">
        <w:t xml:space="preserve"> would tends to magnify  the i</w:t>
      </w:r>
      <w:r w:rsidR="00A453FF">
        <w:t>n</w:t>
      </w:r>
      <w:r w:rsidR="00BB0C56">
        <w:t xml:space="preserve">tensity of  globalization.  </w:t>
      </w:r>
      <w:r w:rsidR="00BB0C56">
        <w:rPr>
          <w:lang w:val="en-US"/>
        </w:rPr>
        <w:t>The welfare state boost the utility of losers from globalization, regardless whether the skilled-rich or the unskilled poor govern its policies , or the factor supply and the saving propensity are  the economy’s fundamentals.</w:t>
      </w:r>
    </w:p>
    <w:p w14:paraId="5BA2E882" w14:textId="77777777" w:rsidR="00EE0B89" w:rsidRDefault="00EE0B89" w:rsidP="003A2B55">
      <w:pPr>
        <w:pStyle w:val="10"/>
      </w:pPr>
    </w:p>
    <w:p w14:paraId="58E23F6D" w14:textId="77777777" w:rsidR="001003C6" w:rsidRDefault="001003C6" w:rsidP="00A805F1">
      <w:pPr>
        <w:pStyle w:val="10"/>
      </w:pPr>
    </w:p>
    <w:p w14:paraId="7AA81FEC" w14:textId="37ECA381" w:rsidR="001003C6" w:rsidRPr="001003C6" w:rsidRDefault="001003C6" w:rsidP="00A805F1">
      <w:pPr>
        <w:pStyle w:val="10"/>
        <w:rPr>
          <w:b/>
          <w:bCs/>
        </w:rPr>
      </w:pPr>
      <w:r w:rsidRPr="001003C6">
        <w:rPr>
          <w:b/>
          <w:bCs/>
        </w:rPr>
        <w:t>Introduction</w:t>
      </w:r>
    </w:p>
    <w:p w14:paraId="06BFA767" w14:textId="46FC978C" w:rsidR="00191F7F" w:rsidRDefault="00F32E0D" w:rsidP="006455E6">
      <w:pPr>
        <w:pStyle w:val="10"/>
        <w:ind w:firstLine="708"/>
        <w:rPr>
          <w:lang w:val="en-US"/>
        </w:rPr>
      </w:pPr>
      <w:r>
        <w:rPr>
          <w:lang w:val="en-US"/>
        </w:rPr>
        <w:t>An</w:t>
      </w:r>
      <w:r w:rsidR="00D70EBF">
        <w:rPr>
          <w:lang w:val="en-US"/>
        </w:rPr>
        <w:t xml:space="preserve"> </w:t>
      </w:r>
      <w:r>
        <w:rPr>
          <w:lang w:val="en-US"/>
        </w:rPr>
        <w:t xml:space="preserve">interesting </w:t>
      </w:r>
      <w:r w:rsidR="006455E6">
        <w:rPr>
          <w:lang w:val="en-US"/>
        </w:rPr>
        <w:t>study by the political scientist</w:t>
      </w:r>
      <w:r w:rsidR="00191F7F" w:rsidRPr="009960CD">
        <w:rPr>
          <w:lang w:val="en-US"/>
        </w:rPr>
        <w:t xml:space="preserve"> Rogowski (1992)</w:t>
      </w:r>
      <w:r w:rsidR="006455E6">
        <w:rPr>
          <w:lang w:val="en-US"/>
        </w:rPr>
        <w:t xml:space="preserve"> </w:t>
      </w:r>
      <w:r>
        <w:rPr>
          <w:lang w:val="en-US"/>
        </w:rPr>
        <w:t>asks why</w:t>
      </w:r>
      <w:r w:rsidR="00191F7F" w:rsidRPr="009960CD">
        <w:rPr>
          <w:lang w:val="en-US"/>
        </w:rPr>
        <w:t xml:space="preserve"> countries differ so greatly in their pattern of political division</w:t>
      </w:r>
      <w:r w:rsidR="00C02415">
        <w:rPr>
          <w:lang w:val="en-US"/>
        </w:rPr>
        <w:t>s</w:t>
      </w:r>
      <w:r w:rsidR="00191F7F" w:rsidRPr="009960CD">
        <w:rPr>
          <w:lang w:val="en-US"/>
        </w:rPr>
        <w:t xml:space="preserve">, and </w:t>
      </w:r>
      <w:r w:rsidR="00C02415">
        <w:rPr>
          <w:lang w:val="en-US"/>
        </w:rPr>
        <w:t xml:space="preserve">ensuing </w:t>
      </w:r>
      <w:r>
        <w:rPr>
          <w:lang w:val="en-US"/>
        </w:rPr>
        <w:t xml:space="preserve">political </w:t>
      </w:r>
      <w:r w:rsidRPr="009960CD">
        <w:rPr>
          <w:lang w:val="en-US"/>
        </w:rPr>
        <w:t>coalitions</w:t>
      </w:r>
      <w:r w:rsidR="00191F7F" w:rsidRPr="009960CD">
        <w:rPr>
          <w:lang w:val="en-US"/>
        </w:rPr>
        <w:t>, when international trade expands</w:t>
      </w:r>
      <w:r w:rsidR="00C02415">
        <w:rPr>
          <w:lang w:val="en-US"/>
        </w:rPr>
        <w:t xml:space="preserve">. He </w:t>
      </w:r>
      <w:r>
        <w:rPr>
          <w:lang w:val="en-US"/>
        </w:rPr>
        <w:t xml:space="preserve">argues </w:t>
      </w:r>
      <w:r w:rsidRPr="009960CD">
        <w:rPr>
          <w:lang w:val="en-US"/>
        </w:rPr>
        <w:t xml:space="preserve">that </w:t>
      </w:r>
      <w:r>
        <w:rPr>
          <w:lang w:val="en-US"/>
        </w:rPr>
        <w:t>the</w:t>
      </w:r>
      <w:r w:rsidR="00C02415">
        <w:rPr>
          <w:lang w:val="en-US"/>
        </w:rPr>
        <w:t xml:space="preserve"> </w:t>
      </w:r>
      <w:r w:rsidR="00191F7F" w:rsidRPr="009960CD">
        <w:rPr>
          <w:lang w:val="en-US"/>
        </w:rPr>
        <w:t xml:space="preserve">owners of abundant </w:t>
      </w:r>
      <w:r w:rsidR="006455E6">
        <w:rPr>
          <w:lang w:val="en-US"/>
        </w:rPr>
        <w:t xml:space="preserve">primary </w:t>
      </w:r>
      <w:r w:rsidR="00191F7F" w:rsidRPr="009960CD">
        <w:rPr>
          <w:lang w:val="en-US"/>
        </w:rPr>
        <w:t>factors</w:t>
      </w:r>
      <w:r w:rsidR="006455E6">
        <w:rPr>
          <w:lang w:val="en-US"/>
        </w:rPr>
        <w:t xml:space="preserve"> of production </w:t>
      </w:r>
      <w:r w:rsidR="00191F7F" w:rsidRPr="009960CD">
        <w:rPr>
          <w:lang w:val="en-US"/>
        </w:rPr>
        <w:t xml:space="preserve"> in each country assert themselves politically more</w:t>
      </w:r>
      <w:r w:rsidR="00C02415">
        <w:rPr>
          <w:lang w:val="en-US"/>
        </w:rPr>
        <w:t xml:space="preserve"> </w:t>
      </w:r>
      <w:r>
        <w:rPr>
          <w:lang w:val="en-US"/>
        </w:rPr>
        <w:t xml:space="preserve">when </w:t>
      </w:r>
      <w:r w:rsidRPr="009960CD">
        <w:rPr>
          <w:lang w:val="en-US"/>
        </w:rPr>
        <w:t>trade</w:t>
      </w:r>
      <w:r w:rsidR="00191F7F" w:rsidRPr="009960CD">
        <w:rPr>
          <w:lang w:val="en-US"/>
        </w:rPr>
        <w:t xml:space="preserve"> globalization</w:t>
      </w:r>
      <w:r w:rsidR="00C02415">
        <w:rPr>
          <w:lang w:val="en-US"/>
        </w:rPr>
        <w:t xml:space="preserve"> intensifies</w:t>
      </w:r>
      <w:r w:rsidR="00191F7F" w:rsidRPr="009960CD">
        <w:rPr>
          <w:lang w:val="en-US"/>
        </w:rPr>
        <w:t xml:space="preserve">, while owners of scarce factors </w:t>
      </w:r>
      <w:r w:rsidR="006455E6">
        <w:rPr>
          <w:lang w:val="en-US"/>
        </w:rPr>
        <w:t xml:space="preserve">turn out to be </w:t>
      </w:r>
      <w:r w:rsidR="00191F7F" w:rsidRPr="009960CD">
        <w:rPr>
          <w:lang w:val="en-US"/>
        </w:rPr>
        <w:t xml:space="preserve"> </w:t>
      </w:r>
      <w:r w:rsidR="00C02415">
        <w:rPr>
          <w:lang w:val="en-US"/>
        </w:rPr>
        <w:t xml:space="preserve">politically </w:t>
      </w:r>
      <w:r w:rsidR="00191F7F" w:rsidRPr="009960CD">
        <w:rPr>
          <w:lang w:val="en-US"/>
        </w:rPr>
        <w:t xml:space="preserve">defensive. </w:t>
      </w:r>
      <w:r w:rsidR="006455E6">
        <w:rPr>
          <w:lang w:val="en-US"/>
        </w:rPr>
        <w:t>To address these issues h</w:t>
      </w:r>
      <w:r w:rsidR="00191F7F" w:rsidRPr="009960CD">
        <w:rPr>
          <w:lang w:val="en-US"/>
        </w:rPr>
        <w:t>e</w:t>
      </w:r>
      <w:r w:rsidR="00D70EBF">
        <w:rPr>
          <w:lang w:val="en-US"/>
        </w:rPr>
        <w:t xml:space="preserve"> </w:t>
      </w:r>
      <w:r>
        <w:rPr>
          <w:lang w:val="en-US"/>
        </w:rPr>
        <w:t>utilizes a standard</w:t>
      </w:r>
      <w:r w:rsidR="00C02415">
        <w:rPr>
          <w:lang w:val="en-US"/>
        </w:rPr>
        <w:t xml:space="preserve"> </w:t>
      </w:r>
      <w:r w:rsidR="00D70EBF">
        <w:rPr>
          <w:lang w:val="en-US"/>
        </w:rPr>
        <w:t xml:space="preserve">factor-proportion </w:t>
      </w:r>
      <w:r w:rsidR="00191F7F" w:rsidRPr="009960CD">
        <w:rPr>
          <w:lang w:val="en-US"/>
        </w:rPr>
        <w:t>model (</w:t>
      </w:r>
      <w:r w:rsidR="00C02415">
        <w:rPr>
          <w:lang w:val="en-US"/>
        </w:rPr>
        <w:t xml:space="preserve">with </w:t>
      </w:r>
      <w:r w:rsidR="00191F7F" w:rsidRPr="009960CD">
        <w:rPr>
          <w:lang w:val="en-US"/>
        </w:rPr>
        <w:t>land, labor, and capital)</w:t>
      </w:r>
      <w:r w:rsidR="00C02415">
        <w:rPr>
          <w:lang w:val="en-US"/>
        </w:rPr>
        <w:t xml:space="preserve">. The model predicts </w:t>
      </w:r>
      <w:r w:rsidR="00191F7F" w:rsidRPr="009960CD">
        <w:rPr>
          <w:lang w:val="en-US"/>
        </w:rPr>
        <w:t xml:space="preserve">one of three kinds of political cleavages: </w:t>
      </w:r>
      <w:r w:rsidR="00C02415">
        <w:rPr>
          <w:lang w:val="en-US"/>
        </w:rPr>
        <w:t>“</w:t>
      </w:r>
      <w:r w:rsidR="00191F7F" w:rsidRPr="009960CD">
        <w:rPr>
          <w:lang w:val="en-US"/>
        </w:rPr>
        <w:t>class</w:t>
      </w:r>
      <w:r w:rsidR="00C02415">
        <w:rPr>
          <w:lang w:val="en-US"/>
        </w:rPr>
        <w:t>”</w:t>
      </w:r>
      <w:r w:rsidR="00191F7F" w:rsidRPr="009960CD">
        <w:rPr>
          <w:lang w:val="en-US"/>
        </w:rPr>
        <w:t xml:space="preserve"> </w:t>
      </w:r>
      <w:r w:rsidR="00C02415">
        <w:rPr>
          <w:lang w:val="en-US"/>
        </w:rPr>
        <w:t xml:space="preserve">coalition </w:t>
      </w:r>
      <w:r w:rsidR="00191F7F" w:rsidRPr="009960CD">
        <w:rPr>
          <w:lang w:val="en-US"/>
        </w:rPr>
        <w:t xml:space="preserve">(labor against land and capital), </w:t>
      </w:r>
      <w:r w:rsidR="00C02415">
        <w:rPr>
          <w:lang w:val="en-US"/>
        </w:rPr>
        <w:t>“</w:t>
      </w:r>
      <w:r w:rsidR="00191F7F" w:rsidRPr="009960CD">
        <w:rPr>
          <w:lang w:val="en-US"/>
        </w:rPr>
        <w:t>urban-rural</w:t>
      </w:r>
      <w:r w:rsidR="00C02415">
        <w:rPr>
          <w:lang w:val="en-US"/>
        </w:rPr>
        <w:t>”</w:t>
      </w:r>
      <w:r w:rsidR="00191F7F" w:rsidRPr="009960CD">
        <w:rPr>
          <w:lang w:val="en-US"/>
        </w:rPr>
        <w:t xml:space="preserve"> </w:t>
      </w:r>
      <w:r w:rsidR="00C02415">
        <w:rPr>
          <w:lang w:val="en-US"/>
        </w:rPr>
        <w:lastRenderedPageBreak/>
        <w:t xml:space="preserve">coalition” </w:t>
      </w:r>
      <w:r w:rsidR="00191F7F" w:rsidRPr="009960CD">
        <w:rPr>
          <w:lang w:val="en-US"/>
        </w:rPr>
        <w:t xml:space="preserve">(land against capital and labor), or </w:t>
      </w:r>
      <w:r w:rsidR="00C02415">
        <w:rPr>
          <w:lang w:val="en-US"/>
        </w:rPr>
        <w:t>“</w:t>
      </w:r>
      <w:r w:rsidR="00191F7F" w:rsidRPr="009960CD">
        <w:rPr>
          <w:lang w:val="en-US"/>
        </w:rPr>
        <w:t>red-green</w:t>
      </w:r>
      <w:r w:rsidR="00C02415">
        <w:rPr>
          <w:lang w:val="en-US"/>
        </w:rPr>
        <w:t>”</w:t>
      </w:r>
      <w:r w:rsidR="00191F7F" w:rsidRPr="009960CD">
        <w:rPr>
          <w:lang w:val="en-US"/>
        </w:rPr>
        <w:t xml:space="preserve"> coalition (land and labor against capital). </w:t>
      </w:r>
      <w:r w:rsidR="006455E6">
        <w:rPr>
          <w:lang w:val="en-US"/>
        </w:rPr>
        <w:t>Nineteenth century e</w:t>
      </w:r>
      <w:r w:rsidR="00191F7F" w:rsidRPr="009960CD">
        <w:rPr>
          <w:lang w:val="en-US"/>
        </w:rPr>
        <w:t xml:space="preserve">xamples </w:t>
      </w:r>
      <w:r w:rsidR="00D70EBF" w:rsidRPr="009960CD">
        <w:rPr>
          <w:lang w:val="en-US"/>
        </w:rPr>
        <w:t>are</w:t>
      </w:r>
      <w:r>
        <w:rPr>
          <w:lang w:val="en-US"/>
        </w:rPr>
        <w:t xml:space="preserve">: </w:t>
      </w:r>
      <w:r w:rsidR="00191F7F" w:rsidRPr="009960CD">
        <w:rPr>
          <w:lang w:val="en-US"/>
        </w:rPr>
        <w:t xml:space="preserve"> Germany</w:t>
      </w:r>
      <w:r w:rsidR="002560D0">
        <w:rPr>
          <w:lang w:val="en-US"/>
        </w:rPr>
        <w:t>’s</w:t>
      </w:r>
      <w:r w:rsidR="00191F7F" w:rsidRPr="009960CD">
        <w:rPr>
          <w:lang w:val="en-US"/>
        </w:rPr>
        <w:t xml:space="preserve"> “marriage of iron and rye</w:t>
      </w:r>
      <w:r w:rsidR="00DB3B94">
        <w:rPr>
          <w:lang w:val="en-US"/>
        </w:rPr>
        <w:t>”</w:t>
      </w:r>
      <w:r w:rsidR="00191F7F" w:rsidRPr="009960CD">
        <w:rPr>
          <w:lang w:val="en-US"/>
        </w:rPr>
        <w:t xml:space="preserve">, </w:t>
      </w:r>
      <w:r w:rsidRPr="009960CD">
        <w:rPr>
          <w:lang w:val="en-US"/>
        </w:rPr>
        <w:t>Britain’s</w:t>
      </w:r>
      <w:r w:rsidR="006455E6">
        <w:rPr>
          <w:lang w:val="en-US"/>
        </w:rPr>
        <w:t xml:space="preserve"> </w:t>
      </w:r>
      <w:r>
        <w:rPr>
          <w:lang w:val="en-US"/>
        </w:rPr>
        <w:t>”</w:t>
      </w:r>
      <w:r w:rsidR="00191F7F" w:rsidRPr="009960CD">
        <w:rPr>
          <w:lang w:val="en-US"/>
        </w:rPr>
        <w:t>trade liberalism</w:t>
      </w:r>
      <w:r w:rsidR="001C4C8D">
        <w:rPr>
          <w:lang w:val="en-US"/>
        </w:rPr>
        <w:t>”</w:t>
      </w:r>
      <w:r w:rsidR="00191F7F" w:rsidRPr="009960CD">
        <w:rPr>
          <w:lang w:val="en-US"/>
        </w:rPr>
        <w:t>,</w:t>
      </w:r>
      <w:r w:rsidR="00AE14FF">
        <w:rPr>
          <w:lang w:val="en-US"/>
        </w:rPr>
        <w:t xml:space="preserve"> and </w:t>
      </w:r>
      <w:r w:rsidR="002560D0">
        <w:rPr>
          <w:lang w:val="en-US"/>
        </w:rPr>
        <w:t xml:space="preserve">the </w:t>
      </w:r>
      <w:r w:rsidR="006455E6">
        <w:rPr>
          <w:lang w:val="en-US"/>
        </w:rPr>
        <w:t>US</w:t>
      </w:r>
      <w:r w:rsidR="00191F7F" w:rsidRPr="009960CD">
        <w:rPr>
          <w:lang w:val="en-US"/>
        </w:rPr>
        <w:t xml:space="preserve"> </w:t>
      </w:r>
      <w:r w:rsidR="001C4C8D">
        <w:rPr>
          <w:lang w:val="en-US"/>
        </w:rPr>
        <w:t>“</w:t>
      </w:r>
      <w:r w:rsidR="00DB3B94">
        <w:rPr>
          <w:lang w:val="en-US"/>
        </w:rPr>
        <w:t>p</w:t>
      </w:r>
      <w:r w:rsidR="00191F7F" w:rsidRPr="009960CD">
        <w:rPr>
          <w:lang w:val="en-US"/>
        </w:rPr>
        <w:t>opulism</w:t>
      </w:r>
      <w:r w:rsidR="001C4C8D">
        <w:rPr>
          <w:lang w:val="en-US"/>
        </w:rPr>
        <w:t>”</w:t>
      </w:r>
      <w:r w:rsidR="00191F7F" w:rsidRPr="009960CD">
        <w:rPr>
          <w:lang w:val="en-US"/>
        </w:rPr>
        <w:t xml:space="preserve">.  </w:t>
      </w:r>
      <w:r w:rsidR="001C4C8D">
        <w:rPr>
          <w:lang w:val="en-US"/>
        </w:rPr>
        <w:t>For</w:t>
      </w:r>
      <w:r>
        <w:rPr>
          <w:lang w:val="en-US"/>
        </w:rPr>
        <w:t xml:space="preserve"> a capital</w:t>
      </w:r>
      <w:r w:rsidR="00191F7F" w:rsidRPr="009960CD">
        <w:rPr>
          <w:lang w:val="en-US"/>
        </w:rPr>
        <w:t>-rich and labor-abundant countr</w:t>
      </w:r>
      <w:r>
        <w:rPr>
          <w:lang w:val="en-US"/>
        </w:rPr>
        <w:t>y</w:t>
      </w:r>
      <w:r w:rsidR="00191F7F" w:rsidRPr="009960CD">
        <w:rPr>
          <w:lang w:val="en-US"/>
        </w:rPr>
        <w:t>, where land is scarce</w:t>
      </w:r>
      <w:r w:rsidR="001763E7" w:rsidRPr="009960CD">
        <w:rPr>
          <w:lang w:val="en-US"/>
        </w:rPr>
        <w:t xml:space="preserve">, </w:t>
      </w:r>
      <w:r w:rsidR="00AE14FF" w:rsidRPr="009960CD">
        <w:rPr>
          <w:lang w:val="en-US"/>
        </w:rPr>
        <w:t>expand</w:t>
      </w:r>
      <w:r w:rsidR="00AE14FF">
        <w:rPr>
          <w:lang w:val="en-US"/>
        </w:rPr>
        <w:t xml:space="preserve">ing </w:t>
      </w:r>
      <w:r w:rsidR="00AE14FF" w:rsidRPr="009960CD">
        <w:rPr>
          <w:lang w:val="en-US"/>
        </w:rPr>
        <w:t>trade</w:t>
      </w:r>
      <w:r w:rsidR="00191F7F" w:rsidRPr="009960CD">
        <w:rPr>
          <w:lang w:val="en-US"/>
        </w:rPr>
        <w:t xml:space="preserve"> benefit</w:t>
      </w:r>
      <w:r w:rsidR="001763E7" w:rsidRPr="009960CD">
        <w:rPr>
          <w:lang w:val="en-US"/>
        </w:rPr>
        <w:t xml:space="preserve">s </w:t>
      </w:r>
      <w:r w:rsidR="00191F7F" w:rsidRPr="009960CD">
        <w:rPr>
          <w:lang w:val="en-US"/>
        </w:rPr>
        <w:t>both capitalists and workers</w:t>
      </w:r>
      <w:r w:rsidR="001C4C8D">
        <w:rPr>
          <w:lang w:val="en-US"/>
        </w:rPr>
        <w:t>, but</w:t>
      </w:r>
      <w:r w:rsidR="00191F7F" w:rsidRPr="009960CD">
        <w:rPr>
          <w:lang w:val="en-US"/>
        </w:rPr>
        <w:t xml:space="preserve"> harms landowners. </w:t>
      </w:r>
      <w:r w:rsidR="001C4C8D">
        <w:rPr>
          <w:lang w:val="en-US"/>
        </w:rPr>
        <w:t>Consequently, b</w:t>
      </w:r>
      <w:r w:rsidR="00DB3B94">
        <w:rPr>
          <w:lang w:val="en-US"/>
        </w:rPr>
        <w:t>oth capitalists and workers-</w:t>
      </w:r>
      <w:r w:rsidR="00191F7F" w:rsidRPr="009960CD">
        <w:rPr>
          <w:lang w:val="en-US"/>
        </w:rPr>
        <w:t>the urban sector-favor free trade</w:t>
      </w:r>
      <w:r w:rsidR="001C4C8D">
        <w:rPr>
          <w:lang w:val="en-US"/>
        </w:rPr>
        <w:t xml:space="preserve"> against the interests of </w:t>
      </w:r>
      <w:r w:rsidR="00AE14FF">
        <w:rPr>
          <w:lang w:val="en-US"/>
        </w:rPr>
        <w:t>landowners</w:t>
      </w:r>
      <w:r w:rsidR="00191F7F" w:rsidRPr="009960CD">
        <w:rPr>
          <w:lang w:val="en-US"/>
        </w:rPr>
        <w:t>.</w:t>
      </w:r>
      <w:r w:rsidR="001C4C8D">
        <w:rPr>
          <w:lang w:val="en-US"/>
        </w:rPr>
        <w:t xml:space="preserve"> This </w:t>
      </w:r>
      <w:r>
        <w:rPr>
          <w:lang w:val="en-US"/>
        </w:rPr>
        <w:t>helps explain</w:t>
      </w:r>
      <w:r w:rsidR="00AE14FF">
        <w:rPr>
          <w:lang w:val="en-US"/>
        </w:rPr>
        <w:t xml:space="preserve"> the</w:t>
      </w:r>
      <w:r w:rsidR="001C4C8D">
        <w:rPr>
          <w:lang w:val="en-US"/>
        </w:rPr>
        <w:t xml:space="preserve"> </w:t>
      </w:r>
      <w:r w:rsidR="001C4C8D" w:rsidRPr="001C4C8D">
        <w:rPr>
          <w:lang w:val="en-US"/>
        </w:rPr>
        <w:t>Brit</w:t>
      </w:r>
      <w:r w:rsidR="001C4C8D">
        <w:rPr>
          <w:lang w:val="en-US"/>
        </w:rPr>
        <w:t xml:space="preserve">ish  </w:t>
      </w:r>
      <w:r w:rsidR="001C4C8D" w:rsidRPr="009960CD">
        <w:rPr>
          <w:lang w:val="en-US"/>
        </w:rPr>
        <w:t xml:space="preserve"> trade liberalism</w:t>
      </w:r>
      <w:r w:rsidR="00E3334A">
        <w:rPr>
          <w:lang w:val="en-US"/>
        </w:rPr>
        <w:t xml:space="preserve">. </w:t>
      </w:r>
      <w:r w:rsidR="00191F7F" w:rsidRPr="009960CD">
        <w:rPr>
          <w:lang w:val="en-US"/>
        </w:rPr>
        <w:t>When land and labor are scarce, expanding trade will benefit only</w:t>
      </w:r>
      <w:r w:rsidR="00E3334A">
        <w:rPr>
          <w:lang w:val="en-US"/>
        </w:rPr>
        <w:t xml:space="preserve"> capital, </w:t>
      </w:r>
      <w:r w:rsidR="00191F7F" w:rsidRPr="009960CD">
        <w:rPr>
          <w:lang w:val="en-US"/>
        </w:rPr>
        <w:t xml:space="preserve">and </w:t>
      </w:r>
      <w:r w:rsidR="00E3334A">
        <w:rPr>
          <w:lang w:val="en-US"/>
        </w:rPr>
        <w:t xml:space="preserve">agriculture and </w:t>
      </w:r>
      <w:r w:rsidR="00191F7F" w:rsidRPr="009960CD">
        <w:rPr>
          <w:lang w:val="en-US"/>
        </w:rPr>
        <w:t>labor</w:t>
      </w:r>
      <w:r w:rsidR="00DB3B94">
        <w:rPr>
          <w:lang w:val="en-US"/>
        </w:rPr>
        <w:t xml:space="preserve"> </w:t>
      </w:r>
      <w:r w:rsidR="006455E6">
        <w:rPr>
          <w:lang w:val="en-US"/>
        </w:rPr>
        <w:t>–</w:t>
      </w:r>
      <w:r w:rsidR="00DB3B94">
        <w:rPr>
          <w:lang w:val="en-US"/>
        </w:rPr>
        <w:t xml:space="preserve"> </w:t>
      </w:r>
      <w:r w:rsidR="006455E6">
        <w:rPr>
          <w:lang w:val="en-US"/>
        </w:rPr>
        <w:t xml:space="preserve">the </w:t>
      </w:r>
      <w:r>
        <w:rPr>
          <w:lang w:val="en-US"/>
        </w:rPr>
        <w:t>“Green” and</w:t>
      </w:r>
      <w:r w:rsidR="006455E6">
        <w:rPr>
          <w:lang w:val="en-US"/>
        </w:rPr>
        <w:t xml:space="preserve"> the </w:t>
      </w:r>
      <w:r>
        <w:rPr>
          <w:lang w:val="en-US"/>
        </w:rPr>
        <w:t xml:space="preserve"> “red”- are </w:t>
      </w:r>
      <w:r w:rsidR="00191F7F" w:rsidRPr="009960CD">
        <w:rPr>
          <w:lang w:val="en-US"/>
        </w:rPr>
        <w:t>expected to unite against trade</w:t>
      </w:r>
      <w:r w:rsidR="00D70EBF">
        <w:rPr>
          <w:lang w:val="en-US"/>
        </w:rPr>
        <w:t xml:space="preserve"> openness</w:t>
      </w:r>
      <w:r w:rsidR="00191F7F" w:rsidRPr="009960CD">
        <w:rPr>
          <w:lang w:val="en-US"/>
        </w:rPr>
        <w:t>. In “frontier” countries where land is abundant</w:t>
      </w:r>
      <w:r w:rsidR="006455E6">
        <w:rPr>
          <w:lang w:val="en-US"/>
        </w:rPr>
        <w:t>,</w:t>
      </w:r>
      <w:r w:rsidR="00191F7F" w:rsidRPr="009960CD">
        <w:rPr>
          <w:lang w:val="en-US"/>
        </w:rPr>
        <w:t xml:space="preserve"> only agriculture gain from free trade. </w:t>
      </w:r>
      <w:r w:rsidR="002560D0">
        <w:rPr>
          <w:lang w:val="en-US"/>
        </w:rPr>
        <w:t>American f</w:t>
      </w:r>
      <w:r w:rsidR="00191F7F" w:rsidRPr="009960CD">
        <w:rPr>
          <w:lang w:val="en-US"/>
        </w:rPr>
        <w:t xml:space="preserve">armers try to expand their influence in </w:t>
      </w:r>
      <w:r w:rsidR="001763E7" w:rsidRPr="009960CD">
        <w:rPr>
          <w:lang w:val="en-US"/>
        </w:rPr>
        <w:t>a</w:t>
      </w:r>
      <w:r w:rsidR="00191F7F" w:rsidRPr="009960CD">
        <w:rPr>
          <w:lang w:val="en-US"/>
        </w:rPr>
        <w:t xml:space="preserve"> “populist</w:t>
      </w:r>
      <w:r w:rsidRPr="009960CD">
        <w:rPr>
          <w:lang w:val="en-US"/>
        </w:rPr>
        <w:t xml:space="preserve">” </w:t>
      </w:r>
      <w:r>
        <w:rPr>
          <w:lang w:val="en-US"/>
        </w:rPr>
        <w:t xml:space="preserve">movement </w:t>
      </w:r>
      <w:r w:rsidR="00AE14FF">
        <w:rPr>
          <w:lang w:val="en-US"/>
        </w:rPr>
        <w:t>of</w:t>
      </w:r>
      <w:r w:rsidR="00E3334A">
        <w:rPr>
          <w:lang w:val="en-US"/>
        </w:rPr>
        <w:t xml:space="preserve"> </w:t>
      </w:r>
      <w:r w:rsidR="006455E6">
        <w:rPr>
          <w:lang w:val="en-US"/>
        </w:rPr>
        <w:t xml:space="preserve">an </w:t>
      </w:r>
      <w:r w:rsidR="00E3334A">
        <w:rPr>
          <w:lang w:val="en-US"/>
        </w:rPr>
        <w:t xml:space="preserve"> </w:t>
      </w:r>
      <w:r w:rsidR="00191F7F" w:rsidRPr="009960CD">
        <w:rPr>
          <w:lang w:val="en-US"/>
        </w:rPr>
        <w:t xml:space="preserve">anti-urban </w:t>
      </w:r>
      <w:r w:rsidR="006455E6">
        <w:rPr>
          <w:lang w:val="en-US"/>
        </w:rPr>
        <w:t>streak</w:t>
      </w:r>
      <w:r w:rsidR="00191F7F" w:rsidRPr="009960CD">
        <w:rPr>
          <w:lang w:val="en-US"/>
        </w:rPr>
        <w:t xml:space="preserve">. </w:t>
      </w:r>
    </w:p>
    <w:p w14:paraId="1F9ACC21" w14:textId="0CB9F7B9" w:rsidR="00F32E0D" w:rsidRDefault="00191F7F" w:rsidP="0042025A">
      <w:pPr>
        <w:pStyle w:val="10"/>
        <w:rPr>
          <w:rFonts w:ascii="dcr10" w:hAnsi="dcr10" w:cs="dcr10"/>
          <w:lang w:val="en-US"/>
        </w:rPr>
      </w:pPr>
      <w:r w:rsidRPr="009960CD">
        <w:rPr>
          <w:rFonts w:ascii="dcr10" w:hAnsi="dcr10" w:cs="dcr10"/>
          <w:lang w:val="en-US"/>
        </w:rPr>
        <w:t xml:space="preserve"> In </w:t>
      </w:r>
      <w:r w:rsidR="00D70EBF" w:rsidRPr="009960CD">
        <w:rPr>
          <w:rFonts w:ascii="dcr10" w:hAnsi="dcr10" w:cs="dcr10"/>
          <w:lang w:val="en-US"/>
        </w:rPr>
        <w:t xml:space="preserve">these </w:t>
      </w:r>
      <w:r w:rsidR="00F32E0D">
        <w:rPr>
          <w:rFonts w:ascii="dcr10" w:hAnsi="dcr10" w:cs="dcr10"/>
          <w:lang w:val="en-US"/>
        </w:rPr>
        <w:t>19</w:t>
      </w:r>
      <w:r w:rsidR="00F32E0D" w:rsidRPr="00F32E0D">
        <w:rPr>
          <w:rFonts w:ascii="dcr10" w:hAnsi="dcr10" w:cs="dcr10"/>
          <w:vertAlign w:val="superscript"/>
          <w:lang w:val="en-US"/>
        </w:rPr>
        <w:t>th</w:t>
      </w:r>
      <w:r w:rsidR="00F32E0D">
        <w:rPr>
          <w:rFonts w:ascii="dcr10" w:hAnsi="dcr10" w:cs="dcr10"/>
          <w:lang w:val="en-US"/>
        </w:rPr>
        <w:t xml:space="preserve"> century</w:t>
      </w:r>
      <w:r w:rsidR="00D70EBF" w:rsidRPr="009960CD">
        <w:rPr>
          <w:rFonts w:ascii="dcr10" w:hAnsi="dcr10" w:cs="dcr10"/>
          <w:lang w:val="en-US"/>
        </w:rPr>
        <w:t xml:space="preserve"> episodes</w:t>
      </w:r>
      <w:r w:rsidRPr="009960CD">
        <w:rPr>
          <w:rFonts w:ascii="dcr10" w:hAnsi="dcr10" w:cs="dcr10"/>
          <w:lang w:val="en-US"/>
        </w:rPr>
        <w:t>, however</w:t>
      </w:r>
      <w:r w:rsidR="00247ED7" w:rsidRPr="009960CD">
        <w:rPr>
          <w:rFonts w:ascii="dcr10" w:hAnsi="dcr10" w:cs="dcr10"/>
          <w:lang w:val="en-US"/>
        </w:rPr>
        <w:t>,</w:t>
      </w:r>
      <w:r w:rsidRPr="009960CD">
        <w:rPr>
          <w:rFonts w:ascii="dcr10" w:hAnsi="dcr10" w:cs="dcr10"/>
          <w:lang w:val="en-US"/>
        </w:rPr>
        <w:t xml:space="preserve"> the welfare state was </w:t>
      </w:r>
      <w:r w:rsidR="00D70EBF" w:rsidRPr="009960CD">
        <w:rPr>
          <w:rFonts w:ascii="dcr10" w:hAnsi="dcr10" w:cs="dcr10"/>
          <w:lang w:val="en-US"/>
        </w:rPr>
        <w:t>nonexistent</w:t>
      </w:r>
      <w:r w:rsidR="00F32E0D">
        <w:rPr>
          <w:rFonts w:ascii="dcr10" w:hAnsi="dcr10" w:cs="dcr10"/>
          <w:lang w:val="en-US"/>
        </w:rPr>
        <w:t>.</w:t>
      </w:r>
      <w:r w:rsidR="006455E6">
        <w:rPr>
          <w:rFonts w:ascii="dcr10" w:hAnsi="dcr10" w:cs="dcr10"/>
          <w:lang w:val="en-US"/>
        </w:rPr>
        <w:t xml:space="preserve"> Consequently,  </w:t>
      </w:r>
      <w:r w:rsidR="00F32E0D">
        <w:rPr>
          <w:rFonts w:ascii="dcr10" w:hAnsi="dcr10" w:cs="dcr10"/>
          <w:lang w:val="en-US"/>
        </w:rPr>
        <w:t xml:space="preserve"> </w:t>
      </w:r>
      <w:r w:rsidR="006455E6">
        <w:rPr>
          <w:rFonts w:ascii="dcr10" w:hAnsi="dcr10" w:cs="dcr10"/>
          <w:lang w:val="en-US"/>
        </w:rPr>
        <w:t>s</w:t>
      </w:r>
      <w:r w:rsidR="000A3A84" w:rsidRPr="009960CD">
        <w:rPr>
          <w:rFonts w:ascii="dcr10" w:hAnsi="dcr10" w:cs="dcr10"/>
          <w:lang w:val="en-US"/>
        </w:rPr>
        <w:t xml:space="preserve">ocial safety nets could have </w:t>
      </w:r>
      <w:r w:rsidRPr="009960CD">
        <w:rPr>
          <w:rFonts w:ascii="dcr10" w:hAnsi="dcr10" w:cs="dcr10"/>
          <w:lang w:val="en-US"/>
        </w:rPr>
        <w:t xml:space="preserve">played no </w:t>
      </w:r>
      <w:r w:rsidR="00D70EBF" w:rsidRPr="009960CD">
        <w:rPr>
          <w:rFonts w:ascii="dcr10" w:hAnsi="dcr10" w:cs="dcr10"/>
          <w:lang w:val="en-US"/>
        </w:rPr>
        <w:t>role in</w:t>
      </w:r>
      <w:r w:rsidRPr="009960CD">
        <w:rPr>
          <w:rFonts w:ascii="dcr10" w:hAnsi="dcr10" w:cs="dcr10"/>
          <w:lang w:val="en-US"/>
        </w:rPr>
        <w:t xml:space="preserve"> </w:t>
      </w:r>
      <w:r w:rsidR="006455E6">
        <w:rPr>
          <w:rFonts w:ascii="dcr10" w:hAnsi="dcr10" w:cs="dcr10"/>
          <w:lang w:val="en-US"/>
        </w:rPr>
        <w:t>lessening</w:t>
      </w:r>
      <w:r w:rsidR="000A3A84" w:rsidRPr="009960CD">
        <w:rPr>
          <w:rFonts w:ascii="dcr10" w:hAnsi="dcr10" w:cs="dcr10"/>
          <w:lang w:val="en-US"/>
        </w:rPr>
        <w:t xml:space="preserve"> </w:t>
      </w:r>
      <w:r w:rsidR="00A7079D">
        <w:rPr>
          <w:rFonts w:ascii="dcr10" w:hAnsi="dcr10" w:cs="dcr10"/>
          <w:lang w:val="en-US"/>
        </w:rPr>
        <w:t xml:space="preserve">political </w:t>
      </w:r>
      <w:r w:rsidR="00A7079D" w:rsidRPr="009960CD">
        <w:rPr>
          <w:rFonts w:ascii="dcr10" w:hAnsi="dcr10" w:cs="dcr10"/>
          <w:lang w:val="en-US"/>
        </w:rPr>
        <w:t>cleavages</w:t>
      </w:r>
      <w:r w:rsidR="000A3A84" w:rsidRPr="009960CD">
        <w:rPr>
          <w:rFonts w:ascii="dcr10" w:hAnsi="dcr10" w:cs="dcr10"/>
          <w:lang w:val="en-US"/>
        </w:rPr>
        <w:t xml:space="preserve"> arising from </w:t>
      </w:r>
      <w:r w:rsidRPr="009960CD">
        <w:rPr>
          <w:rFonts w:ascii="dcr10" w:hAnsi="dcr10" w:cs="dcr10"/>
          <w:lang w:val="en-US"/>
        </w:rPr>
        <w:t>globalization.</w:t>
      </w:r>
      <w:r w:rsidR="008731FE" w:rsidRPr="009960CD">
        <w:rPr>
          <w:rFonts w:ascii="dcr10" w:hAnsi="dcr10" w:cs="dcr10"/>
          <w:lang w:val="en-US"/>
        </w:rPr>
        <w:t xml:space="preserve"> In modern times,</w:t>
      </w:r>
      <w:r w:rsidR="00F32E0D">
        <w:rPr>
          <w:rFonts w:ascii="dcr10" w:hAnsi="dcr10" w:cs="dcr10"/>
          <w:lang w:val="en-US"/>
        </w:rPr>
        <w:t xml:space="preserve"> however,</w:t>
      </w:r>
      <w:r w:rsidR="008731FE" w:rsidRPr="009960CD">
        <w:rPr>
          <w:rFonts w:ascii="dcr10" w:hAnsi="dcr10" w:cs="dcr10"/>
          <w:lang w:val="en-US"/>
        </w:rPr>
        <w:t xml:space="preserve"> </w:t>
      </w:r>
      <w:r w:rsidR="0034111E">
        <w:rPr>
          <w:rFonts w:ascii="dcr10" w:hAnsi="dcr10" w:cs="dcr10"/>
          <w:lang w:val="en-US"/>
        </w:rPr>
        <w:t>open economies have already welfare-state institutions</w:t>
      </w:r>
      <w:r w:rsidR="0042025A">
        <w:rPr>
          <w:rFonts w:ascii="dcr10" w:hAnsi="dcr10" w:cs="dcr10"/>
          <w:lang w:val="en-US"/>
        </w:rPr>
        <w:t>, put firmly in place</w:t>
      </w:r>
      <w:r w:rsidR="0034111E">
        <w:rPr>
          <w:rFonts w:ascii="dcr10" w:hAnsi="dcr10" w:cs="dcr10"/>
          <w:lang w:val="en-US"/>
        </w:rPr>
        <w:t>. Welfare</w:t>
      </w:r>
      <w:r w:rsidR="009A3DCD">
        <w:rPr>
          <w:rFonts w:ascii="dcr10" w:hAnsi="dcr10" w:cs="dcr10"/>
          <w:lang w:val="en-US"/>
        </w:rPr>
        <w:t xml:space="preserve"> </w:t>
      </w:r>
      <w:r w:rsidR="0034111E">
        <w:rPr>
          <w:rFonts w:ascii="dcr10" w:hAnsi="dcr10" w:cs="dcr10"/>
          <w:lang w:val="en-US"/>
        </w:rPr>
        <w:t>state</w:t>
      </w:r>
      <w:r w:rsidR="009A3DCD">
        <w:rPr>
          <w:rFonts w:ascii="dcr10" w:hAnsi="dcr10" w:cs="dcr10"/>
          <w:lang w:val="en-US"/>
        </w:rPr>
        <w:t>s</w:t>
      </w:r>
      <w:r w:rsidR="0034111E">
        <w:rPr>
          <w:rFonts w:ascii="dcr10" w:hAnsi="dcr10" w:cs="dcr10"/>
          <w:lang w:val="en-US"/>
        </w:rPr>
        <w:t xml:space="preserve"> are </w:t>
      </w:r>
      <w:r w:rsidR="009A3DCD">
        <w:rPr>
          <w:rFonts w:ascii="dcr10" w:hAnsi="dcr10" w:cs="dcr10"/>
          <w:lang w:val="en-US"/>
        </w:rPr>
        <w:t xml:space="preserve">endowed with </w:t>
      </w:r>
      <w:r w:rsidR="0034111E">
        <w:rPr>
          <w:rFonts w:ascii="dcr10" w:hAnsi="dcr10" w:cs="dcr10"/>
          <w:lang w:val="en-US"/>
        </w:rPr>
        <w:t xml:space="preserve">a  </w:t>
      </w:r>
      <w:r w:rsidR="009A3DCD">
        <w:rPr>
          <w:rFonts w:ascii="dcr10" w:hAnsi="dcr10" w:cs="dcr10"/>
          <w:lang w:val="en-US"/>
        </w:rPr>
        <w:t>tax-benefit</w:t>
      </w:r>
      <w:r w:rsidR="0034111E">
        <w:rPr>
          <w:rFonts w:ascii="dcr10" w:hAnsi="dcr10" w:cs="dcr10"/>
          <w:lang w:val="en-US"/>
        </w:rPr>
        <w:t xml:space="preserve"> arsenal   in facing </w:t>
      </w:r>
      <w:r w:rsidR="0042025A">
        <w:rPr>
          <w:rFonts w:ascii="dcr10" w:hAnsi="dcr10" w:cs="dcr10"/>
          <w:lang w:val="en-US"/>
        </w:rPr>
        <w:t xml:space="preserve">the forces unleashed by the </w:t>
      </w:r>
      <w:r w:rsidR="0034111E" w:rsidRPr="009960CD">
        <w:rPr>
          <w:rFonts w:ascii="dcr10" w:hAnsi="dcr10" w:cs="dcr10"/>
          <w:lang w:val="en-US"/>
        </w:rPr>
        <w:t xml:space="preserve"> trade</w:t>
      </w:r>
      <w:r w:rsidR="0034111E">
        <w:rPr>
          <w:rFonts w:ascii="dcr10" w:hAnsi="dcr10" w:cs="dcr10"/>
          <w:lang w:val="en-US"/>
        </w:rPr>
        <w:t>-finance</w:t>
      </w:r>
      <w:r w:rsidR="0034111E" w:rsidRPr="009960CD">
        <w:rPr>
          <w:rFonts w:ascii="dcr10" w:hAnsi="dcr10" w:cs="dcr10"/>
          <w:lang w:val="en-US"/>
        </w:rPr>
        <w:t xml:space="preserve"> integration</w:t>
      </w:r>
      <w:r w:rsidR="00F32E0D">
        <w:rPr>
          <w:rFonts w:ascii="dcr10" w:hAnsi="dcr10" w:cs="dcr10"/>
          <w:lang w:val="en-US"/>
        </w:rPr>
        <w:t>.</w:t>
      </w:r>
      <w:r w:rsidR="00F32E0D">
        <w:rPr>
          <w:rStyle w:val="Appelnotedebasdep"/>
          <w:rFonts w:ascii="dcr10" w:hAnsi="dcr10" w:cs="dcr10"/>
          <w:lang w:val="en-US"/>
        </w:rPr>
        <w:footnoteReference w:id="1"/>
      </w:r>
    </w:p>
    <w:p w14:paraId="7B195F3E" w14:textId="2E8E2E81" w:rsidR="00C75FBC" w:rsidRDefault="00C75FBC" w:rsidP="00F32E0D">
      <w:pPr>
        <w:pStyle w:val="10"/>
        <w:rPr>
          <w:rFonts w:ascii="dcr10" w:hAnsi="dcr10" w:cs="dcr10"/>
          <w:lang w:val="en-US"/>
        </w:rPr>
      </w:pPr>
    </w:p>
    <w:p w14:paraId="00F1C2D7" w14:textId="42EECD1F" w:rsidR="00227426" w:rsidRPr="002C71CE" w:rsidRDefault="0034111E" w:rsidP="0042025A">
      <w:pPr>
        <w:pStyle w:val="10"/>
        <w:rPr>
          <w:rFonts w:ascii="dcr10" w:hAnsi="dcr10" w:cs="dcr10"/>
          <w:lang w:val="en-US"/>
        </w:rPr>
      </w:pPr>
      <w:r>
        <w:rPr>
          <w:rFonts w:ascii="dcr10" w:hAnsi="dcr10" w:cs="dcr10"/>
          <w:lang w:val="en-US"/>
        </w:rPr>
        <w:t xml:space="preserve">The main </w:t>
      </w:r>
      <w:r w:rsidR="002711BE">
        <w:rPr>
          <w:rFonts w:ascii="dcr10" w:hAnsi="dcr10" w:cs="dcr10"/>
          <w:lang w:val="en-US"/>
        </w:rPr>
        <w:t>mechanism, driving the welfare-state-globalization interactions,</w:t>
      </w:r>
      <w:r w:rsidR="00A7079D">
        <w:rPr>
          <w:rFonts w:ascii="dcr10" w:hAnsi="dcr10" w:cs="dcr10"/>
          <w:lang w:val="en-US"/>
        </w:rPr>
        <w:t xml:space="preserve"> is international tax competition. </w:t>
      </w:r>
      <w:r w:rsidR="00D446EE" w:rsidRPr="009960CD">
        <w:rPr>
          <w:rFonts w:ascii="dcr10" w:hAnsi="dcr10" w:cs="dcr10"/>
          <w:lang w:val="en-US"/>
        </w:rPr>
        <w:t xml:space="preserve"> Financial</w:t>
      </w:r>
      <w:r w:rsidR="00C9071F" w:rsidRPr="009960CD">
        <w:rPr>
          <w:rFonts w:ascii="dcr10" w:hAnsi="dcr10" w:cs="dcr10"/>
          <w:lang w:val="en-US"/>
        </w:rPr>
        <w:t xml:space="preserve"> and trade </w:t>
      </w:r>
      <w:r w:rsidR="00D446EE" w:rsidRPr="009960CD">
        <w:rPr>
          <w:rFonts w:ascii="dcr10" w:hAnsi="dcr10" w:cs="dcr10"/>
          <w:lang w:val="en-US"/>
        </w:rPr>
        <w:t xml:space="preserve"> integration </w:t>
      </w:r>
      <w:r w:rsidR="00C9071F" w:rsidRPr="009960CD">
        <w:rPr>
          <w:rFonts w:ascii="dcr10" w:hAnsi="dcr10" w:cs="dcr10"/>
          <w:lang w:val="en-US"/>
        </w:rPr>
        <w:t xml:space="preserve">typically </w:t>
      </w:r>
      <w:r w:rsidR="00D446EE" w:rsidRPr="009960CD">
        <w:rPr>
          <w:rFonts w:ascii="dcr10" w:hAnsi="dcr10" w:cs="dcr10"/>
          <w:lang w:val="en-US"/>
        </w:rPr>
        <w:t>lower the tax on the mobile factor, capital</w:t>
      </w:r>
      <w:r w:rsidR="00C9071F" w:rsidRPr="009960CD">
        <w:rPr>
          <w:rFonts w:ascii="dcr10" w:hAnsi="dcr10" w:cs="dcr10"/>
          <w:lang w:val="en-US"/>
        </w:rPr>
        <w:t>;</w:t>
      </w:r>
      <w:r w:rsidR="00D446EE" w:rsidRPr="009960CD">
        <w:rPr>
          <w:rFonts w:ascii="dcr10" w:hAnsi="dcr10" w:cs="dcr10"/>
          <w:lang w:val="en-US"/>
        </w:rPr>
        <w:t xml:space="preserve"> </w:t>
      </w:r>
      <w:r w:rsidR="00C9071F" w:rsidRPr="009960CD">
        <w:rPr>
          <w:rFonts w:ascii="dcr10" w:hAnsi="dcr10" w:cs="dcr10"/>
          <w:lang w:val="en-US"/>
        </w:rPr>
        <w:t xml:space="preserve">thus eroding </w:t>
      </w:r>
      <w:r w:rsidR="00D446EE" w:rsidRPr="009960CD">
        <w:rPr>
          <w:rFonts w:ascii="dcr10" w:hAnsi="dcr10" w:cs="dcr10"/>
          <w:lang w:val="en-US"/>
        </w:rPr>
        <w:t xml:space="preserve"> the </w:t>
      </w:r>
      <w:r w:rsidR="007D7AC7">
        <w:rPr>
          <w:rFonts w:ascii="dcr10" w:hAnsi="dcr10" w:cs="dcr10"/>
          <w:lang w:val="en-US"/>
        </w:rPr>
        <w:t xml:space="preserve">tax bases associated with </w:t>
      </w:r>
      <w:r w:rsidR="00D446EE" w:rsidRPr="009960CD">
        <w:rPr>
          <w:rFonts w:ascii="dcr10" w:hAnsi="dcr10" w:cs="dcr10"/>
          <w:lang w:val="en-US"/>
        </w:rPr>
        <w:t>capital income</w:t>
      </w:r>
      <w:r w:rsidR="00C9071F" w:rsidRPr="009960CD">
        <w:rPr>
          <w:rFonts w:ascii="dcr10" w:hAnsi="dcr10" w:cs="dcr10"/>
          <w:lang w:val="en-US"/>
        </w:rPr>
        <w:t xml:space="preserve">, profits, </w:t>
      </w:r>
      <w:r w:rsidR="007D7AC7">
        <w:rPr>
          <w:rFonts w:ascii="dcr10" w:hAnsi="dcr10" w:cs="dcr10"/>
          <w:lang w:val="en-US"/>
        </w:rPr>
        <w:t xml:space="preserve">and </w:t>
      </w:r>
      <w:r w:rsidR="00C9071F" w:rsidRPr="009960CD">
        <w:rPr>
          <w:rFonts w:ascii="dcr10" w:hAnsi="dcr10" w:cs="dcr10"/>
          <w:lang w:val="en-US"/>
        </w:rPr>
        <w:t>high-skill labor</w:t>
      </w:r>
      <w:r w:rsidR="00D446EE" w:rsidRPr="009960CD">
        <w:rPr>
          <w:rFonts w:ascii="dcr10" w:hAnsi="dcr10" w:cs="dcr10"/>
          <w:lang w:val="en-US"/>
        </w:rPr>
        <w:t xml:space="preserve">. </w:t>
      </w:r>
      <w:r w:rsidR="00C9071F" w:rsidRPr="009960CD">
        <w:rPr>
          <w:rFonts w:ascii="dcr10" w:hAnsi="dcr10" w:cs="dcr10"/>
          <w:lang w:val="en-US"/>
        </w:rPr>
        <w:t xml:space="preserve">The launching of the European Union (EU) provides a </w:t>
      </w:r>
      <w:r w:rsidR="00D70EBF">
        <w:rPr>
          <w:rFonts w:ascii="dcr10" w:hAnsi="dcr10" w:cs="dcr10"/>
          <w:lang w:val="en-US"/>
        </w:rPr>
        <w:t>“</w:t>
      </w:r>
      <w:r w:rsidR="00C9071F" w:rsidRPr="009960CD">
        <w:rPr>
          <w:rFonts w:ascii="dcr10" w:hAnsi="dcr10" w:cs="dcr10"/>
          <w:lang w:val="en-US"/>
        </w:rPr>
        <w:t xml:space="preserve">natural </w:t>
      </w:r>
      <w:r w:rsidR="00D70EBF" w:rsidRPr="009960CD">
        <w:rPr>
          <w:rFonts w:ascii="dcr10" w:hAnsi="dcr10" w:cs="dcr10"/>
          <w:lang w:val="en-US"/>
        </w:rPr>
        <w:t>experiment</w:t>
      </w:r>
      <w:r w:rsidR="00FD01CD" w:rsidRPr="009960CD">
        <w:rPr>
          <w:rFonts w:ascii="dcr10" w:hAnsi="dcr10" w:cs="dcr10"/>
          <w:lang w:val="en-US"/>
        </w:rPr>
        <w:t>“</w:t>
      </w:r>
      <w:r w:rsidR="00F52F63" w:rsidRPr="009960CD">
        <w:rPr>
          <w:rFonts w:ascii="dcr10" w:hAnsi="dcr10" w:cs="dcr10"/>
          <w:lang w:val="en-US"/>
        </w:rPr>
        <w:t>.</w:t>
      </w:r>
      <w:r w:rsidR="007D7AC7">
        <w:rPr>
          <w:rFonts w:ascii="dcr10" w:hAnsi="dcr10" w:cs="dcr10"/>
          <w:lang w:val="en-US"/>
        </w:rPr>
        <w:t xml:space="preserve"> </w:t>
      </w:r>
      <w:r w:rsidR="0042025A">
        <w:rPr>
          <w:rFonts w:ascii="dcr10" w:hAnsi="dcr10" w:cs="dcr10"/>
          <w:lang w:val="en-US"/>
        </w:rPr>
        <w:t>Accordingly</w:t>
      </w:r>
      <w:r w:rsidR="007D7AC7">
        <w:rPr>
          <w:rFonts w:ascii="dcr10" w:hAnsi="dcr10" w:cs="dcr10"/>
          <w:lang w:val="en-US"/>
        </w:rPr>
        <w:t xml:space="preserve">, </w:t>
      </w:r>
      <w:r w:rsidR="00D446EE" w:rsidRPr="009960CD">
        <w:rPr>
          <w:rFonts w:ascii="dcr10" w:hAnsi="dcr10" w:cs="dcr10"/>
          <w:lang w:val="en-US"/>
        </w:rPr>
        <w:t xml:space="preserve">Caminada et al (2010) </w:t>
      </w:r>
      <w:r w:rsidR="007D7AC7">
        <w:rPr>
          <w:rFonts w:ascii="dcr10" w:hAnsi="dcr10" w:cs="dcr10"/>
          <w:lang w:val="en-US"/>
        </w:rPr>
        <w:t xml:space="preserve">assemble a large set of </w:t>
      </w:r>
      <w:r w:rsidR="00D446EE" w:rsidRPr="009960CD">
        <w:rPr>
          <w:rFonts w:ascii="dcr10" w:hAnsi="dcr10" w:cs="dcr10"/>
          <w:lang w:val="en-US"/>
        </w:rPr>
        <w:t xml:space="preserve">EU welfare-state indicators.  </w:t>
      </w:r>
      <w:r w:rsidR="00DB3B94">
        <w:rPr>
          <w:rFonts w:ascii="dcr10" w:hAnsi="dcr10" w:cs="dcr10"/>
          <w:lang w:val="en-US"/>
        </w:rPr>
        <w:t>They look at</w:t>
      </w:r>
      <w:r w:rsidR="00D446EE" w:rsidRPr="009960CD">
        <w:rPr>
          <w:rFonts w:ascii="dcr10" w:hAnsi="dcr10" w:cs="dcr10"/>
          <w:lang w:val="en-US"/>
        </w:rPr>
        <w:t xml:space="preserve"> a variety of indicators: </w:t>
      </w:r>
      <w:r w:rsidR="007D7AC7" w:rsidRPr="009960CD">
        <w:rPr>
          <w:rFonts w:ascii="dcr10" w:hAnsi="dcr10" w:cs="dcr10"/>
          <w:lang w:val="en-US"/>
        </w:rPr>
        <w:t>of social protection</w:t>
      </w:r>
      <w:r w:rsidR="007D7AC7">
        <w:rPr>
          <w:rFonts w:ascii="dcr10" w:hAnsi="dcr10" w:cs="dcr10"/>
          <w:lang w:val="en-US"/>
        </w:rPr>
        <w:t>,</w:t>
      </w:r>
      <w:r w:rsidR="007D7AC7" w:rsidRPr="009960CD">
        <w:rPr>
          <w:rFonts w:ascii="dcr10" w:hAnsi="dcr10" w:cs="dcr10"/>
          <w:lang w:val="en-US"/>
        </w:rPr>
        <w:t xml:space="preserve"> </w:t>
      </w:r>
      <w:r w:rsidR="00D446EE" w:rsidRPr="009960CD">
        <w:rPr>
          <w:rFonts w:ascii="dcr10" w:hAnsi="dcr10" w:cs="dcr10"/>
          <w:lang w:val="en-US"/>
        </w:rPr>
        <w:t>social expenditures, rep</w:t>
      </w:r>
      <w:r w:rsidR="007D7AC7">
        <w:rPr>
          <w:rFonts w:ascii="dcr10" w:hAnsi="dcr10" w:cs="dcr10"/>
          <w:lang w:val="en-US"/>
        </w:rPr>
        <w:t>lacement rates of unemployment</w:t>
      </w:r>
      <w:r w:rsidR="002711BE">
        <w:rPr>
          <w:rFonts w:ascii="dcr10" w:hAnsi="dcr10" w:cs="dcr10"/>
          <w:lang w:val="en-US"/>
        </w:rPr>
        <w:t xml:space="preserve">, </w:t>
      </w:r>
      <w:r w:rsidR="007D7AC7">
        <w:rPr>
          <w:rFonts w:ascii="dcr10" w:hAnsi="dcr10" w:cs="dcr10"/>
          <w:lang w:val="en-US"/>
        </w:rPr>
        <w:t>,</w:t>
      </w:r>
      <w:r w:rsidR="00D446EE" w:rsidRPr="009960CD">
        <w:rPr>
          <w:rFonts w:ascii="dcr10" w:hAnsi="dcr10" w:cs="dcr10"/>
          <w:lang w:val="en-US"/>
        </w:rPr>
        <w:t>social assistance</w:t>
      </w:r>
      <w:r w:rsidR="007D7AC7">
        <w:rPr>
          <w:rFonts w:ascii="dcr10" w:hAnsi="dcr10" w:cs="dcr10"/>
          <w:lang w:val="en-US"/>
        </w:rPr>
        <w:t xml:space="preserve">, </w:t>
      </w:r>
      <w:r w:rsidR="00D446EE" w:rsidRPr="009960CD">
        <w:rPr>
          <w:rFonts w:ascii="dcr10" w:hAnsi="dcr10" w:cs="dcr10"/>
          <w:lang w:val="en-US"/>
        </w:rPr>
        <w:t>and poverty indicators.</w:t>
      </w:r>
      <w:r w:rsidR="00DB3B94">
        <w:rPr>
          <w:rStyle w:val="Appelnotedebasdep"/>
          <w:rFonts w:ascii="dcr10" w:hAnsi="dcr10" w:cs="dcr10"/>
          <w:lang w:val="en-US"/>
        </w:rPr>
        <w:footnoteReference w:id="2"/>
      </w:r>
      <w:r w:rsidR="00D446EE" w:rsidRPr="009960CD">
        <w:rPr>
          <w:rFonts w:ascii="dcr10" w:hAnsi="dcr10" w:cs="dcr10"/>
          <w:lang w:val="en-US"/>
        </w:rPr>
        <w:t xml:space="preserve"> Together, these indicators may provide a relatively broad picture of the evolution of social protection in the EU. </w:t>
      </w:r>
      <w:r w:rsidR="002C71CE">
        <w:rPr>
          <w:rFonts w:ascii="dcr10" w:hAnsi="dcr10" w:cs="dcr10"/>
          <w:lang w:val="en-US"/>
        </w:rPr>
        <w:t xml:space="preserve">They </w:t>
      </w:r>
      <w:r w:rsidR="00D446EE" w:rsidRPr="009960CD">
        <w:rPr>
          <w:rFonts w:ascii="dcr10" w:hAnsi="dcr10" w:cs="dcr10"/>
          <w:lang w:val="en-US"/>
        </w:rPr>
        <w:t xml:space="preserve">demonstrate that the initial level of public social expenditure prior to the creation of the EU has a negative effect on the on EU provision of public social services well after EU has been established. </w:t>
      </w:r>
      <w:r w:rsidR="0042025A">
        <w:rPr>
          <w:rFonts w:ascii="Arial" w:hAnsi="Arial" w:cs="Arial"/>
          <w:color w:val="1C1D1E"/>
        </w:rPr>
        <w:t>T</w:t>
      </w:r>
      <w:r w:rsidR="0042025A" w:rsidRPr="0042025A">
        <w:rPr>
          <w:rFonts w:ascii="dcr10" w:hAnsi="dcr10" w:cs="dcr10"/>
          <w:lang w:val="en-US"/>
        </w:rPr>
        <w:t xml:space="preserve">his indicates that countries with above average  level of the social protection indicator at </w:t>
      </w:r>
      <w:r w:rsidR="0042025A" w:rsidRPr="0042025A">
        <w:rPr>
          <w:rFonts w:ascii="dcr10" w:hAnsi="dcr10" w:cs="dcr10"/>
          <w:lang w:val="en-US"/>
        </w:rPr>
        <w:lastRenderedPageBreak/>
        <w:t>the pre-EU  period, reduce the provision of social benefits after the launch of the EU; and,  countries with below  average  level of the social protection indicator at the pre-EU  period, raise  the provision of social benefits after the launch of the EU.</w:t>
      </w:r>
      <w:r w:rsidR="00D446EE" w:rsidRPr="009960CD">
        <w:rPr>
          <w:rFonts w:ascii="dcr10" w:hAnsi="dcr10" w:cs="dcr10"/>
          <w:lang w:val="en-US"/>
        </w:rPr>
        <w:t xml:space="preserve"> </w:t>
      </w:r>
      <w:r w:rsidR="002C71CE">
        <w:rPr>
          <w:rFonts w:ascii="dcr10" w:hAnsi="dcr10" w:cs="dcr10"/>
          <w:lang w:val="en-US"/>
        </w:rPr>
        <w:t>They also show that</w:t>
      </w:r>
      <w:r w:rsidR="002C71CE" w:rsidRPr="002C71CE">
        <w:rPr>
          <w:rFonts w:ascii="dcr10" w:hAnsi="dcr10" w:cs="dcr10"/>
          <w:lang w:val="en-US"/>
        </w:rPr>
        <w:t xml:space="preserve"> there is absolute convergence </w:t>
      </w:r>
      <w:r w:rsidR="002711BE" w:rsidRPr="002C71CE">
        <w:rPr>
          <w:rFonts w:ascii="dcr10" w:hAnsi="dcr10" w:cs="dcr10"/>
          <w:lang w:val="en-US"/>
        </w:rPr>
        <w:t>towards</w:t>
      </w:r>
      <w:r w:rsidR="002C71CE" w:rsidRPr="002C71CE">
        <w:rPr>
          <w:rFonts w:ascii="dcr10" w:hAnsi="dcr10" w:cs="dcr10"/>
          <w:lang w:val="en-US"/>
        </w:rPr>
        <w:t xml:space="preserve"> the bottom in social protection levels across EU countries</w:t>
      </w:r>
      <w:r w:rsidR="002C71CE">
        <w:rPr>
          <w:rFonts w:ascii="dcr10" w:hAnsi="dcr10" w:cs="dcr10"/>
          <w:lang w:val="en-US"/>
        </w:rPr>
        <w:t>, possibly because of tax competition forces.</w:t>
      </w:r>
      <w:r w:rsidR="002C71CE" w:rsidRPr="002C71CE">
        <w:rPr>
          <w:rFonts w:ascii="dcr10" w:hAnsi="dcr10" w:cs="dcr10"/>
          <w:lang w:val="en-US"/>
        </w:rPr>
        <w:t xml:space="preserve"> </w:t>
      </w:r>
    </w:p>
    <w:p w14:paraId="097C6668" w14:textId="415AADE9" w:rsidR="001B0075" w:rsidRDefault="00F83342" w:rsidP="0032431D">
      <w:pPr>
        <w:pStyle w:val="10"/>
        <w:rPr>
          <w:lang w:val="en-US"/>
        </w:rPr>
      </w:pPr>
      <w:r w:rsidRPr="009960CD">
        <w:rPr>
          <w:lang w:val="en-US"/>
        </w:rPr>
        <w:t>The paper develops a parsimonious model of small open economy</w:t>
      </w:r>
      <w:r>
        <w:rPr>
          <w:lang w:val="en-US"/>
        </w:rPr>
        <w:t>,</w:t>
      </w:r>
      <w:r w:rsidRPr="009960CD">
        <w:rPr>
          <w:lang w:val="en-US"/>
        </w:rPr>
        <w:t xml:space="preserve"> with a </w:t>
      </w:r>
      <w:r>
        <w:rPr>
          <w:lang w:val="en-US"/>
        </w:rPr>
        <w:t xml:space="preserve">standard </w:t>
      </w:r>
      <w:r w:rsidRPr="009960CD">
        <w:rPr>
          <w:lang w:val="en-US"/>
        </w:rPr>
        <w:t xml:space="preserve"> welfare</w:t>
      </w:r>
      <w:r>
        <w:rPr>
          <w:lang w:val="en-US"/>
        </w:rPr>
        <w:t>-</w:t>
      </w:r>
      <w:r w:rsidRPr="009960CD">
        <w:rPr>
          <w:lang w:val="en-US"/>
        </w:rPr>
        <w:t>state</w:t>
      </w:r>
      <w:r>
        <w:rPr>
          <w:lang w:val="en-US"/>
        </w:rPr>
        <w:t xml:space="preserve"> </w:t>
      </w:r>
      <w:r w:rsidR="0032431D">
        <w:rPr>
          <w:lang w:val="en-US"/>
        </w:rPr>
        <w:t>set-up, where t</w:t>
      </w:r>
      <w:r>
        <w:rPr>
          <w:lang w:val="en-US"/>
        </w:rPr>
        <w:t xml:space="preserve">he </w:t>
      </w:r>
      <w:r w:rsidRPr="009960CD">
        <w:rPr>
          <w:lang w:val="en-US"/>
        </w:rPr>
        <w:t>majority of the voter population</w:t>
      </w:r>
      <w:r>
        <w:rPr>
          <w:lang w:val="en-US"/>
        </w:rPr>
        <w:t xml:space="preserve"> govern</w:t>
      </w:r>
      <w:r w:rsidRPr="00F83342">
        <w:rPr>
          <w:lang w:val="en-US"/>
        </w:rPr>
        <w:t xml:space="preserve"> </w:t>
      </w:r>
      <w:r w:rsidR="0032431D">
        <w:rPr>
          <w:lang w:val="en-US"/>
        </w:rPr>
        <w:t xml:space="preserve">social </w:t>
      </w:r>
      <w:r>
        <w:rPr>
          <w:lang w:val="en-US"/>
        </w:rPr>
        <w:t>polic</w:t>
      </w:r>
      <w:r w:rsidR="0032431D">
        <w:rPr>
          <w:lang w:val="en-US"/>
        </w:rPr>
        <w:t>ies</w:t>
      </w:r>
      <w:r>
        <w:rPr>
          <w:lang w:val="en-US"/>
        </w:rPr>
        <w:t xml:space="preserve">.  The purpose is to shed light on the interactions between globalization and the generosity of the welfare, and its fiscal structure. </w:t>
      </w:r>
      <w:r w:rsidR="00F52F63" w:rsidRPr="009960CD">
        <w:rPr>
          <w:lang w:val="en-US"/>
        </w:rPr>
        <w:t>The</w:t>
      </w:r>
      <w:r w:rsidR="00A7079D">
        <w:rPr>
          <w:lang w:val="en-US"/>
        </w:rPr>
        <w:t xml:space="preserve"> </w:t>
      </w:r>
      <w:r w:rsidR="00F52F63" w:rsidRPr="009960CD">
        <w:rPr>
          <w:lang w:val="en-US"/>
        </w:rPr>
        <w:t>paper analyzes the t</w:t>
      </w:r>
      <w:r w:rsidR="00294448" w:rsidRPr="009960CD">
        <w:rPr>
          <w:lang w:val="en-US"/>
        </w:rPr>
        <w:t>rade-globalization</w:t>
      </w:r>
      <w:r>
        <w:rPr>
          <w:lang w:val="en-US"/>
        </w:rPr>
        <w:t xml:space="preserve"> effects, </w:t>
      </w:r>
      <w:r w:rsidR="00F52F63" w:rsidRPr="009960CD">
        <w:rPr>
          <w:lang w:val="en-US"/>
        </w:rPr>
        <w:t>and financial-</w:t>
      </w:r>
      <w:r w:rsidR="002C1B21" w:rsidRPr="009960CD">
        <w:rPr>
          <w:lang w:val="en-US"/>
        </w:rPr>
        <w:t>globalization</w:t>
      </w:r>
      <w:r>
        <w:rPr>
          <w:lang w:val="en-US"/>
        </w:rPr>
        <w:t xml:space="preserve"> </w:t>
      </w:r>
      <w:r w:rsidR="002C1B21" w:rsidRPr="009960CD">
        <w:rPr>
          <w:lang w:val="en-US"/>
        </w:rPr>
        <w:t>effects</w:t>
      </w:r>
      <w:r>
        <w:rPr>
          <w:lang w:val="en-US"/>
        </w:rPr>
        <w:t xml:space="preserve">,  </w:t>
      </w:r>
      <w:r w:rsidR="00294448" w:rsidRPr="009960CD">
        <w:rPr>
          <w:lang w:val="en-US"/>
        </w:rPr>
        <w:t xml:space="preserve"> </w:t>
      </w:r>
      <w:r w:rsidR="002C1B21" w:rsidRPr="009960CD">
        <w:rPr>
          <w:lang w:val="en-US"/>
        </w:rPr>
        <w:t>on the</w:t>
      </w:r>
      <w:r w:rsidR="00F52F63" w:rsidRPr="009960CD">
        <w:rPr>
          <w:lang w:val="en-US"/>
        </w:rPr>
        <w:t xml:space="preserve"> </w:t>
      </w:r>
      <w:r w:rsidR="00294448" w:rsidRPr="009960CD">
        <w:rPr>
          <w:lang w:val="en-US"/>
        </w:rPr>
        <w:t xml:space="preserve">distribution </w:t>
      </w:r>
      <w:r w:rsidR="00F52F63" w:rsidRPr="009960CD">
        <w:rPr>
          <w:lang w:val="en-US"/>
        </w:rPr>
        <w:t>of income</w:t>
      </w:r>
      <w:r w:rsidR="006B3E49">
        <w:rPr>
          <w:lang w:val="en-US"/>
        </w:rPr>
        <w:t xml:space="preserve">, </w:t>
      </w:r>
      <w:r w:rsidR="006B3E49" w:rsidRPr="009960CD">
        <w:rPr>
          <w:lang w:val="en-US"/>
        </w:rPr>
        <w:t>and</w:t>
      </w:r>
      <w:r w:rsidR="00294448" w:rsidRPr="009960CD">
        <w:rPr>
          <w:lang w:val="en-US"/>
        </w:rPr>
        <w:t xml:space="preserve"> the ensuing welfare</w:t>
      </w:r>
      <w:r w:rsidR="00200452">
        <w:rPr>
          <w:lang w:val="en-US"/>
        </w:rPr>
        <w:t>-state provision of social benefits</w:t>
      </w:r>
      <w:r w:rsidR="006B3E49">
        <w:rPr>
          <w:lang w:val="en-US"/>
        </w:rPr>
        <w:t xml:space="preserve">, </w:t>
      </w:r>
      <w:r w:rsidR="006B3E49" w:rsidRPr="009960CD">
        <w:rPr>
          <w:lang w:val="en-US"/>
        </w:rPr>
        <w:t>and</w:t>
      </w:r>
      <w:r w:rsidR="00294448" w:rsidRPr="009960CD">
        <w:rPr>
          <w:lang w:val="en-US"/>
        </w:rPr>
        <w:t xml:space="preserve"> tax</w:t>
      </w:r>
      <w:r w:rsidR="00200452">
        <w:rPr>
          <w:lang w:val="en-US"/>
        </w:rPr>
        <w:t xml:space="preserve"> policies</w:t>
      </w:r>
      <w:r w:rsidR="00016594" w:rsidRPr="009960CD">
        <w:rPr>
          <w:lang w:val="en-US"/>
        </w:rPr>
        <w:t>.</w:t>
      </w:r>
      <w:r w:rsidR="00200452">
        <w:rPr>
          <w:lang w:val="en-US"/>
        </w:rPr>
        <w:t xml:space="preserve">. </w:t>
      </w:r>
      <w:r w:rsidR="008731FE">
        <w:rPr>
          <w:lang w:val="en-US"/>
        </w:rPr>
        <w:t>Our analysis</w:t>
      </w:r>
      <w:r w:rsidR="006B3E49">
        <w:rPr>
          <w:lang w:val="en-US"/>
        </w:rPr>
        <w:t xml:space="preserve"> </w:t>
      </w:r>
      <w:r w:rsidR="00674540">
        <w:rPr>
          <w:lang w:val="en-US"/>
        </w:rPr>
        <w:t>suggest</w:t>
      </w:r>
      <w:r w:rsidR="00DB3B94">
        <w:rPr>
          <w:lang w:val="en-US"/>
        </w:rPr>
        <w:t>s</w:t>
      </w:r>
      <w:r w:rsidR="00674540">
        <w:rPr>
          <w:lang w:val="en-US"/>
        </w:rPr>
        <w:t xml:space="preserve"> that </w:t>
      </w:r>
      <w:r w:rsidR="00674540" w:rsidRPr="009960CD">
        <w:rPr>
          <w:lang w:val="en-US"/>
        </w:rPr>
        <w:t>the</w:t>
      </w:r>
      <w:r w:rsidR="00200452">
        <w:rPr>
          <w:lang w:val="en-US"/>
        </w:rPr>
        <w:t xml:space="preserve"> role of the welfare state in the presence of intensified globalization</w:t>
      </w:r>
      <w:r w:rsidR="00E91929">
        <w:rPr>
          <w:lang w:val="en-US"/>
        </w:rPr>
        <w:t>, and</w:t>
      </w:r>
      <w:r w:rsidR="00200452">
        <w:rPr>
          <w:lang w:val="en-US"/>
        </w:rPr>
        <w:t xml:space="preserve"> the welfare state’s </w:t>
      </w:r>
      <w:r w:rsidR="00674540">
        <w:rPr>
          <w:lang w:val="en-US"/>
        </w:rPr>
        <w:t>voter</w:t>
      </w:r>
      <w:r w:rsidR="00DB3B94">
        <w:rPr>
          <w:lang w:val="en-US"/>
        </w:rPr>
        <w:t xml:space="preserve"> attitudes</w:t>
      </w:r>
      <w:r w:rsidR="00674540">
        <w:rPr>
          <w:lang w:val="en-US"/>
        </w:rPr>
        <w:t xml:space="preserve"> toward</w:t>
      </w:r>
      <w:r w:rsidR="00200452">
        <w:rPr>
          <w:lang w:val="en-US"/>
        </w:rPr>
        <w:t xml:space="preserve"> openness</w:t>
      </w:r>
      <w:r w:rsidR="003C5C93">
        <w:rPr>
          <w:lang w:val="en-US"/>
        </w:rPr>
        <w:t>,</w:t>
      </w:r>
      <w:r w:rsidR="00F52F63" w:rsidRPr="009960CD">
        <w:rPr>
          <w:lang w:val="en-US"/>
        </w:rPr>
        <w:t xml:space="preserve"> </w:t>
      </w:r>
      <w:r w:rsidR="00294448" w:rsidRPr="009960CD">
        <w:rPr>
          <w:lang w:val="en-US"/>
        </w:rPr>
        <w:t>depend on</w:t>
      </w:r>
      <w:r w:rsidR="0032431D">
        <w:rPr>
          <w:lang w:val="en-US"/>
        </w:rPr>
        <w:t xml:space="preserve"> rather </w:t>
      </w:r>
      <w:r w:rsidR="00674540">
        <w:rPr>
          <w:lang w:val="en-US"/>
        </w:rPr>
        <w:t xml:space="preserve"> </w:t>
      </w:r>
      <w:r w:rsidR="0032431D">
        <w:rPr>
          <w:lang w:val="en-US"/>
        </w:rPr>
        <w:t xml:space="preserve">familiar </w:t>
      </w:r>
      <w:r w:rsidR="00674540">
        <w:rPr>
          <w:lang w:val="en-US"/>
        </w:rPr>
        <w:t xml:space="preserve">open-economy </w:t>
      </w:r>
      <w:r>
        <w:rPr>
          <w:lang w:val="en-US"/>
        </w:rPr>
        <w:t>fundamentals</w:t>
      </w:r>
      <w:r w:rsidR="00674540">
        <w:rPr>
          <w:lang w:val="en-US"/>
        </w:rPr>
        <w:t xml:space="preserve">, </w:t>
      </w:r>
      <w:r w:rsidR="001B0075">
        <w:rPr>
          <w:lang w:val="en-US"/>
        </w:rPr>
        <w:t>such as:</w:t>
      </w:r>
      <w:r w:rsidR="00294448" w:rsidRPr="009960CD">
        <w:rPr>
          <w:lang w:val="en-US"/>
        </w:rPr>
        <w:t xml:space="preserve"> (i) </w:t>
      </w:r>
      <w:r w:rsidR="001B0075">
        <w:rPr>
          <w:lang w:val="en-US"/>
        </w:rPr>
        <w:t>F</w:t>
      </w:r>
      <w:r w:rsidR="00294448" w:rsidRPr="009960CD">
        <w:rPr>
          <w:lang w:val="en-US"/>
        </w:rPr>
        <w:t>actor abundance and the related factor intensity of the export good</w:t>
      </w:r>
      <w:r>
        <w:rPr>
          <w:lang w:val="en-US"/>
        </w:rPr>
        <w:t>;</w:t>
      </w:r>
      <w:r w:rsidR="00E91929">
        <w:rPr>
          <w:lang w:val="en-US"/>
        </w:rPr>
        <w:t xml:space="preserve"> </w:t>
      </w:r>
      <w:r w:rsidR="00200452">
        <w:rPr>
          <w:lang w:val="en-US"/>
        </w:rPr>
        <w:t>(i</w:t>
      </w:r>
      <w:r w:rsidR="001B0075">
        <w:rPr>
          <w:lang w:val="en-US"/>
        </w:rPr>
        <w:t>i</w:t>
      </w:r>
      <w:r w:rsidR="00200452">
        <w:rPr>
          <w:lang w:val="en-US"/>
        </w:rPr>
        <w:t>)</w:t>
      </w:r>
      <w:r w:rsidR="00F52F63" w:rsidRPr="009960CD">
        <w:rPr>
          <w:lang w:val="en-US"/>
        </w:rPr>
        <w:t xml:space="preserve"> </w:t>
      </w:r>
      <w:r w:rsidR="00294448" w:rsidRPr="009960CD">
        <w:rPr>
          <w:lang w:val="en-US"/>
        </w:rPr>
        <w:t xml:space="preserve"> </w:t>
      </w:r>
      <w:r w:rsidR="001B0075">
        <w:rPr>
          <w:lang w:val="en-US"/>
        </w:rPr>
        <w:t>Import or export of financial assets</w:t>
      </w:r>
      <w:r>
        <w:rPr>
          <w:lang w:val="en-US"/>
        </w:rPr>
        <w:t xml:space="preserve">; and, </w:t>
      </w:r>
      <w:r w:rsidR="006E5681">
        <w:rPr>
          <w:lang w:val="en-US"/>
        </w:rPr>
        <w:t xml:space="preserve"> (i</w:t>
      </w:r>
      <w:r w:rsidR="001B0075">
        <w:rPr>
          <w:lang w:val="en-US"/>
        </w:rPr>
        <w:t>ii</w:t>
      </w:r>
      <w:r w:rsidR="006E5681">
        <w:rPr>
          <w:lang w:val="en-US"/>
        </w:rPr>
        <w:t>)</w:t>
      </w:r>
      <w:r w:rsidR="001B0075">
        <w:rPr>
          <w:lang w:val="en-US"/>
        </w:rPr>
        <w:t xml:space="preserve"> </w:t>
      </w:r>
      <w:r w:rsidR="006E5681">
        <w:rPr>
          <w:lang w:val="en-US"/>
        </w:rPr>
        <w:t xml:space="preserve"> </w:t>
      </w:r>
      <w:r w:rsidR="001B0075">
        <w:rPr>
          <w:lang w:val="en-US"/>
        </w:rPr>
        <w:t>H</w:t>
      </w:r>
      <w:r w:rsidR="00E91929">
        <w:rPr>
          <w:lang w:val="en-US"/>
        </w:rPr>
        <w:t xml:space="preserve">igh-skilled </w:t>
      </w:r>
      <w:r w:rsidR="006E5681">
        <w:rPr>
          <w:lang w:val="en-US"/>
        </w:rPr>
        <w:t>emigration</w:t>
      </w:r>
      <w:r w:rsidR="00674540">
        <w:rPr>
          <w:lang w:val="en-US"/>
        </w:rPr>
        <w:t>.</w:t>
      </w:r>
      <w:r w:rsidR="00674540">
        <w:rPr>
          <w:rStyle w:val="Appelnotedebasdep"/>
          <w:lang w:val="en-US"/>
        </w:rPr>
        <w:footnoteReference w:id="3"/>
      </w:r>
      <w:r w:rsidR="00674540">
        <w:rPr>
          <w:lang w:val="en-US"/>
        </w:rPr>
        <w:t xml:space="preserve"> Furthermore, and in</w:t>
      </w:r>
      <w:r w:rsidR="006B3E49">
        <w:rPr>
          <w:lang w:val="en-US"/>
        </w:rPr>
        <w:t xml:space="preserve"> connection to the gains</w:t>
      </w:r>
      <w:r w:rsidR="003C5C93">
        <w:rPr>
          <w:lang w:val="en-US"/>
        </w:rPr>
        <w:t>-</w:t>
      </w:r>
      <w:r w:rsidR="006B3E49">
        <w:rPr>
          <w:lang w:val="en-US"/>
        </w:rPr>
        <w:t>from</w:t>
      </w:r>
      <w:r w:rsidR="003C5C93">
        <w:rPr>
          <w:lang w:val="en-US"/>
        </w:rPr>
        <w:t>-</w:t>
      </w:r>
      <w:r w:rsidR="006B3E49">
        <w:rPr>
          <w:lang w:val="en-US"/>
        </w:rPr>
        <w:t xml:space="preserve">trade </w:t>
      </w:r>
      <w:r w:rsidR="003C5C93">
        <w:rPr>
          <w:lang w:val="en-US"/>
        </w:rPr>
        <w:t>proposition</w:t>
      </w:r>
      <w:r w:rsidR="006B3E49">
        <w:rPr>
          <w:lang w:val="en-US"/>
        </w:rPr>
        <w:t>, w</w:t>
      </w:r>
      <w:r w:rsidR="00016594" w:rsidRPr="009960CD">
        <w:rPr>
          <w:lang w:val="en-US"/>
        </w:rPr>
        <w:t xml:space="preserve">e analyze </w:t>
      </w:r>
      <w:r w:rsidR="00FD01CD">
        <w:rPr>
          <w:lang w:val="en-US"/>
        </w:rPr>
        <w:t>the degree</w:t>
      </w:r>
      <w:r w:rsidR="006B3E49">
        <w:rPr>
          <w:lang w:val="en-US"/>
        </w:rPr>
        <w:t xml:space="preserve"> </w:t>
      </w:r>
      <w:r w:rsidR="001B0075">
        <w:rPr>
          <w:lang w:val="en-US"/>
        </w:rPr>
        <w:t xml:space="preserve">to </w:t>
      </w:r>
      <w:r w:rsidR="00FD01CD">
        <w:rPr>
          <w:lang w:val="en-US"/>
        </w:rPr>
        <w:t xml:space="preserve">which </w:t>
      </w:r>
      <w:r w:rsidR="00FD01CD" w:rsidRPr="009960CD">
        <w:rPr>
          <w:lang w:val="en-US"/>
        </w:rPr>
        <w:t>the</w:t>
      </w:r>
      <w:r w:rsidR="00016594" w:rsidRPr="009960CD">
        <w:rPr>
          <w:lang w:val="en-US"/>
        </w:rPr>
        <w:t xml:space="preserve"> welfare state</w:t>
      </w:r>
      <w:r w:rsidR="00FD01CD">
        <w:rPr>
          <w:lang w:val="en-US"/>
        </w:rPr>
        <w:t>, governed</w:t>
      </w:r>
      <w:r w:rsidR="006B3E49">
        <w:rPr>
          <w:lang w:val="en-US"/>
        </w:rPr>
        <w:t xml:space="preserve"> by the majority of the voter population,</w:t>
      </w:r>
      <w:r w:rsidR="00EF1BAC">
        <w:rPr>
          <w:lang w:val="en-US"/>
        </w:rPr>
        <w:t xml:space="preserve"> is capable </w:t>
      </w:r>
      <w:r w:rsidR="00561F61">
        <w:rPr>
          <w:lang w:val="en-US"/>
        </w:rPr>
        <w:t xml:space="preserve">of </w:t>
      </w:r>
      <w:r w:rsidR="00561F61" w:rsidRPr="009960CD">
        <w:rPr>
          <w:lang w:val="en-US"/>
        </w:rPr>
        <w:t>spreading</w:t>
      </w:r>
      <w:r w:rsidR="00561F61">
        <w:rPr>
          <w:lang w:val="en-US"/>
        </w:rPr>
        <w:t xml:space="preserve"> </w:t>
      </w:r>
      <w:r w:rsidR="00561F61" w:rsidRPr="009960CD">
        <w:rPr>
          <w:lang w:val="en-US"/>
        </w:rPr>
        <w:t>the</w:t>
      </w:r>
      <w:r w:rsidR="00016594" w:rsidRPr="009960CD">
        <w:rPr>
          <w:lang w:val="en-US"/>
        </w:rPr>
        <w:t xml:space="preserve"> gains from </w:t>
      </w:r>
      <w:r w:rsidR="00BF0CD7" w:rsidRPr="009960CD">
        <w:rPr>
          <w:lang w:val="en-US"/>
        </w:rPr>
        <w:t>trade-</w:t>
      </w:r>
      <w:r w:rsidR="003C5C93">
        <w:rPr>
          <w:lang w:val="en-US"/>
        </w:rPr>
        <w:t>globalization</w:t>
      </w:r>
      <w:r w:rsidR="00BF0CD7" w:rsidRPr="009960CD">
        <w:rPr>
          <w:lang w:val="en-US"/>
        </w:rPr>
        <w:t xml:space="preserve">, and financial-globalization to various income </w:t>
      </w:r>
      <w:r w:rsidR="00EF1BAC">
        <w:rPr>
          <w:lang w:val="en-US"/>
        </w:rPr>
        <w:t>classes</w:t>
      </w:r>
      <w:r w:rsidR="006B3E49">
        <w:rPr>
          <w:lang w:val="en-US"/>
        </w:rPr>
        <w:t>, which are different in terms of both labor and capital income.</w:t>
      </w:r>
      <w:r w:rsidR="00E91929">
        <w:rPr>
          <w:lang w:val="en-US"/>
        </w:rPr>
        <w:t xml:space="preserve"> Furthermore, </w:t>
      </w:r>
    </w:p>
    <w:p w14:paraId="7A3C9F63" w14:textId="705CB3B2" w:rsidR="001B0075" w:rsidRDefault="00772493" w:rsidP="0042025A">
      <w:pPr>
        <w:pStyle w:val="10"/>
        <w:rPr>
          <w:lang w:val="en-US"/>
        </w:rPr>
      </w:pPr>
      <w:r>
        <w:rPr>
          <w:lang w:val="en-US"/>
        </w:rPr>
        <w:lastRenderedPageBreak/>
        <w:t>The organization of the paper is as follows. Section 1 briefly reviews the topic of border effects</w:t>
      </w:r>
      <w:r w:rsidR="00F83342">
        <w:rPr>
          <w:lang w:val="en-US"/>
        </w:rPr>
        <w:t xml:space="preserve">, and the trade globalization where </w:t>
      </w:r>
      <w:r w:rsidR="0044467B">
        <w:rPr>
          <w:lang w:val="en-US"/>
        </w:rPr>
        <w:t>the border effects diminish Section</w:t>
      </w:r>
      <w:r w:rsidR="00F83342">
        <w:rPr>
          <w:lang w:val="en-US"/>
        </w:rPr>
        <w:t xml:space="preserve"> 2 </w:t>
      </w:r>
      <w:r w:rsidR="0044467B">
        <w:rPr>
          <w:lang w:val="en-US"/>
        </w:rPr>
        <w:t xml:space="preserve">briefly surveys </w:t>
      </w:r>
      <w:r w:rsidR="00F83342">
        <w:rPr>
          <w:lang w:val="en-US"/>
        </w:rPr>
        <w:t xml:space="preserve">the </w:t>
      </w:r>
      <w:r w:rsidR="0044467B">
        <w:rPr>
          <w:lang w:val="en-US"/>
        </w:rPr>
        <w:t>topic of</w:t>
      </w:r>
      <w:r w:rsidR="00F83342">
        <w:rPr>
          <w:lang w:val="en-US"/>
        </w:rPr>
        <w:t xml:space="preserve"> international tax competition. S</w:t>
      </w:r>
      <w:r>
        <w:rPr>
          <w:lang w:val="en-US"/>
        </w:rPr>
        <w:t xml:space="preserve">ection </w:t>
      </w:r>
      <w:r w:rsidR="0044467B">
        <w:rPr>
          <w:lang w:val="en-US"/>
        </w:rPr>
        <w:t>three</w:t>
      </w:r>
      <w:r>
        <w:rPr>
          <w:lang w:val="en-US"/>
        </w:rPr>
        <w:t xml:space="preserve"> </w:t>
      </w:r>
      <w:r w:rsidR="0044467B">
        <w:rPr>
          <w:lang w:val="en-US"/>
        </w:rPr>
        <w:t>financial-</w:t>
      </w:r>
      <w:r>
        <w:rPr>
          <w:lang w:val="en-US"/>
        </w:rPr>
        <w:t>arbitrage</w:t>
      </w:r>
      <w:r w:rsidR="0044467B">
        <w:rPr>
          <w:lang w:val="en-US"/>
        </w:rPr>
        <w:t xml:space="preserve"> frictions and their effects on the direction, and intensity, of capital flows. </w:t>
      </w:r>
      <w:r w:rsidR="00233ADA">
        <w:rPr>
          <w:lang w:val="en-US"/>
        </w:rPr>
        <w:t xml:space="preserve">Section </w:t>
      </w:r>
      <w:r w:rsidRPr="00772493">
        <w:rPr>
          <w:lang w:val="en-US"/>
        </w:rPr>
        <w:t>4</w:t>
      </w:r>
      <w:r w:rsidR="00233ADA">
        <w:rPr>
          <w:lang w:val="en-US"/>
        </w:rPr>
        <w:t xml:space="preserve"> develops a</w:t>
      </w:r>
      <w:r w:rsidR="00233ADA" w:rsidRPr="00772493">
        <w:rPr>
          <w:lang w:val="en-US"/>
        </w:rPr>
        <w:t xml:space="preserve"> </w:t>
      </w:r>
      <w:r w:rsidR="00233ADA">
        <w:rPr>
          <w:lang w:val="en-US"/>
        </w:rPr>
        <w:t>p</w:t>
      </w:r>
      <w:r w:rsidR="00233ADA" w:rsidRPr="00772493">
        <w:rPr>
          <w:lang w:val="en-US"/>
        </w:rPr>
        <w:t xml:space="preserve">arsimonious </w:t>
      </w:r>
      <w:r w:rsidR="00233ADA">
        <w:rPr>
          <w:lang w:val="en-US"/>
        </w:rPr>
        <w:t>m</w:t>
      </w:r>
      <w:r w:rsidR="00233ADA" w:rsidRPr="00772493">
        <w:rPr>
          <w:lang w:val="en-US"/>
        </w:rPr>
        <w:t xml:space="preserve">odel </w:t>
      </w:r>
      <w:r w:rsidR="00233ADA">
        <w:rPr>
          <w:lang w:val="en-US"/>
        </w:rPr>
        <w:t>of the welfare state, trade globalization, and financial globalization. Section 5 presents the mode</w:t>
      </w:r>
      <w:r w:rsidR="0044467B">
        <w:rPr>
          <w:lang w:val="en-US"/>
        </w:rPr>
        <w:t>l predictions about trade</w:t>
      </w:r>
      <w:r w:rsidR="00233ADA">
        <w:rPr>
          <w:lang w:val="en-US"/>
        </w:rPr>
        <w:t xml:space="preserve"> globalization and</w:t>
      </w:r>
      <w:r w:rsidR="0044467B">
        <w:rPr>
          <w:lang w:val="en-US"/>
        </w:rPr>
        <w:t xml:space="preserve"> the welfare state. S</w:t>
      </w:r>
      <w:r w:rsidR="00233ADA">
        <w:rPr>
          <w:lang w:val="en-US"/>
        </w:rPr>
        <w:t>ection 6 the model</w:t>
      </w:r>
      <w:r w:rsidR="0044467B" w:rsidRPr="0044467B">
        <w:rPr>
          <w:lang w:val="en-US"/>
        </w:rPr>
        <w:t xml:space="preserve"> </w:t>
      </w:r>
      <w:r w:rsidR="0044467B">
        <w:rPr>
          <w:lang w:val="en-US"/>
        </w:rPr>
        <w:t>presents the model predictions about trade globalization and the welfare state.</w:t>
      </w:r>
      <w:r w:rsidR="00233ADA">
        <w:rPr>
          <w:lang w:val="en-US"/>
        </w:rPr>
        <w:t xml:space="preserve"> Section </w:t>
      </w:r>
      <w:r w:rsidR="00233ADA" w:rsidRPr="00772493">
        <w:rPr>
          <w:lang w:val="en-US"/>
        </w:rPr>
        <w:t>7</w:t>
      </w:r>
      <w:r w:rsidR="00233ADA">
        <w:rPr>
          <w:lang w:val="en-US"/>
        </w:rPr>
        <w:t xml:space="preserve"> concludes.</w:t>
      </w:r>
    </w:p>
    <w:p w14:paraId="4FDE510E" w14:textId="02BB9965" w:rsidR="00552DDE" w:rsidRPr="009960CD" w:rsidRDefault="00552DDE" w:rsidP="001B0075">
      <w:pPr>
        <w:pStyle w:val="10"/>
        <w:rPr>
          <w:lang w:val="en-US"/>
        </w:rPr>
      </w:pPr>
      <w:r>
        <w:rPr>
          <w:b/>
          <w:bCs/>
          <w:lang w:val="en-US"/>
        </w:rPr>
        <w:t>1</w:t>
      </w:r>
      <w:r w:rsidRPr="009960CD">
        <w:rPr>
          <w:b/>
          <w:bCs/>
          <w:lang w:val="en-US"/>
        </w:rPr>
        <w:t xml:space="preserve">. </w:t>
      </w:r>
      <w:r>
        <w:rPr>
          <w:b/>
          <w:bCs/>
          <w:lang w:val="en-US"/>
        </w:rPr>
        <w:t xml:space="preserve"> </w:t>
      </w:r>
      <w:r w:rsidR="00514225">
        <w:rPr>
          <w:b/>
          <w:bCs/>
          <w:lang w:val="en-US"/>
        </w:rPr>
        <w:t>Border Effects in International Trade</w:t>
      </w:r>
    </w:p>
    <w:p w14:paraId="4BE78A51" w14:textId="4E94B054" w:rsidR="005A2251" w:rsidRPr="00C82996" w:rsidRDefault="0044467B" w:rsidP="0044467B">
      <w:pPr>
        <w:autoSpaceDE w:val="0"/>
        <w:autoSpaceDN w:val="0"/>
        <w:adjustRightInd w:val="0"/>
        <w:spacing w:after="0" w:line="480" w:lineRule="auto"/>
        <w:jc w:val="both"/>
        <w:rPr>
          <w:rFonts w:ascii="NexusSans" w:hAnsi="NexusSans" w:cs="Arial"/>
          <w:color w:val="505050"/>
          <w:lang w:val="en"/>
        </w:rPr>
      </w:pPr>
      <w:r>
        <w:t xml:space="preserve">There exists large body of international trade </w:t>
      </w:r>
      <w:r w:rsidR="001B0075">
        <w:t xml:space="preserve"> literature </w:t>
      </w:r>
      <w:r>
        <w:t xml:space="preserve">on </w:t>
      </w:r>
      <w:r w:rsidR="00ED3A89">
        <w:t xml:space="preserve"> </w:t>
      </w:r>
      <w:r w:rsidR="00ED3A89" w:rsidRPr="009960CD">
        <w:t>impediments</w:t>
      </w:r>
      <w:r w:rsidR="00552DDE" w:rsidRPr="009960CD">
        <w:t xml:space="preserve"> to trade in </w:t>
      </w:r>
      <w:r w:rsidR="001A2CA5" w:rsidRPr="009960CD">
        <w:t>goods</w:t>
      </w:r>
      <w:r w:rsidR="001A2CA5">
        <w:t xml:space="preserve"> due </w:t>
      </w:r>
      <w:r w:rsidR="002C1B21">
        <w:t xml:space="preserve">to </w:t>
      </w:r>
      <w:r w:rsidR="002C1B21" w:rsidRPr="009960CD">
        <w:t>border</w:t>
      </w:r>
      <w:r w:rsidR="00552DDE" w:rsidRPr="009960CD">
        <w:t xml:space="preserve"> related friction cost</w:t>
      </w:r>
      <w:r w:rsidR="00ED3A89">
        <w:t>:</w:t>
      </w:r>
      <w:r w:rsidR="00552DDE" w:rsidRPr="009960CD">
        <w:t xml:space="preserve"> country specific standards, regulations,</w:t>
      </w:r>
      <w:r w:rsidR="00ED3A89">
        <w:t xml:space="preserve"> t</w:t>
      </w:r>
      <w:r w:rsidR="005A2251" w:rsidRPr="003C5C93">
        <w:rPr>
          <w:rFonts w:ascii="Times New Roman" w:eastAsiaTheme="minorEastAsia" w:hAnsi="Times New Roman" w:cs="Times New Roman"/>
          <w:sz w:val="24"/>
          <w:szCs w:val="24"/>
          <w:lang w:bidi="ar-SA"/>
        </w:rPr>
        <w:t>echnical barriers to trade, together with product-specific information costs, increase border effects.</w:t>
      </w:r>
      <w:r w:rsidR="00ED3A89">
        <w:rPr>
          <w:rFonts w:ascii="Times New Roman" w:eastAsiaTheme="minorEastAsia" w:hAnsi="Times New Roman" w:cs="Times New Roman"/>
          <w:sz w:val="24"/>
          <w:szCs w:val="24"/>
          <w:lang w:bidi="ar-SA"/>
        </w:rPr>
        <w:t xml:space="preserve"> </w:t>
      </w:r>
      <w:r w:rsidR="005A2251">
        <w:rPr>
          <w:rFonts w:ascii="NexusSans" w:hAnsi="NexusSans" w:cs="Arial"/>
          <w:color w:val="505050"/>
          <w:lang w:val="en"/>
        </w:rPr>
        <w:t xml:space="preserve">By </w:t>
      </w:r>
      <w:r w:rsidR="00ED3A89">
        <w:rPr>
          <w:rFonts w:ascii="NexusSans" w:hAnsi="NexusSans" w:cs="Arial"/>
          <w:color w:val="505050"/>
          <w:lang w:val="en"/>
        </w:rPr>
        <w:t>the Lerner’s</w:t>
      </w:r>
      <w:r w:rsidR="005A2251">
        <w:rPr>
          <w:rFonts w:ascii="NexusSans" w:hAnsi="NexusSans" w:cs="Arial"/>
          <w:color w:val="505050"/>
          <w:lang w:val="en"/>
        </w:rPr>
        <w:t xml:space="preserve"> Symmetry, any wedge between the domestic and the world prices applied to the importable </w:t>
      </w:r>
      <w:r w:rsidR="00ED3A89">
        <w:rPr>
          <w:rFonts w:ascii="NexusSans" w:hAnsi="NexusSans" w:cs="Arial"/>
          <w:color w:val="505050"/>
          <w:lang w:val="en"/>
        </w:rPr>
        <w:t>good is</w:t>
      </w:r>
      <w:r w:rsidR="005A2251">
        <w:rPr>
          <w:rFonts w:ascii="NexusSans" w:hAnsi="NexusSans" w:cs="Arial"/>
          <w:color w:val="505050"/>
          <w:lang w:val="en"/>
        </w:rPr>
        <w:t xml:space="preserve"> equivalent to a wedge between world and domestic prices applied to the exportable good.</w:t>
      </w:r>
    </w:p>
    <w:p w14:paraId="678E4877" w14:textId="10268A50" w:rsidR="001A2CA5" w:rsidRPr="00650388" w:rsidRDefault="00552DDE" w:rsidP="0035767C">
      <w:pPr>
        <w:autoSpaceDE w:val="0"/>
        <w:autoSpaceDN w:val="0"/>
        <w:adjustRightInd w:val="0"/>
        <w:spacing w:after="0" w:line="480" w:lineRule="auto"/>
        <w:jc w:val="both"/>
        <w:rPr>
          <w:rFonts w:ascii="NexusSans" w:eastAsia="Times New Roman" w:hAnsi="NexusSans" w:cs="Arial"/>
          <w:color w:val="505050"/>
          <w:sz w:val="21"/>
          <w:szCs w:val="21"/>
          <w:lang w:val="en"/>
        </w:rPr>
      </w:pPr>
      <w:r w:rsidRPr="009960CD">
        <w:t xml:space="preserve"> </w:t>
      </w:r>
      <w:r w:rsidR="001A2CA5" w:rsidRPr="00650388">
        <w:rPr>
          <w:rFonts w:ascii="Roboto" w:hAnsi="Roboto" w:cs="Arial"/>
          <w:color w:val="111111"/>
          <w:lang w:val="en"/>
        </w:rPr>
        <w:t>The “border effect” in international trade refers to a situation in which there is higher volume of trade within a country compared with the volume of trade across the country's borders.</w:t>
      </w:r>
      <w:r w:rsidR="005A2251">
        <w:rPr>
          <w:rFonts w:ascii="Times New Roman" w:eastAsiaTheme="minorEastAsia" w:hAnsi="Times New Roman" w:cs="Times New Roman"/>
          <w:sz w:val="24"/>
          <w:szCs w:val="24"/>
          <w:lang w:bidi="ar-SA"/>
        </w:rPr>
        <w:t xml:space="preserve"> </w:t>
      </w:r>
      <w:r w:rsidR="005A2251" w:rsidRPr="003C5C93">
        <w:rPr>
          <w:rFonts w:ascii="Times New Roman" w:eastAsiaTheme="minorEastAsia" w:hAnsi="Times New Roman" w:cs="Times New Roman"/>
          <w:sz w:val="24"/>
          <w:szCs w:val="24"/>
          <w:lang w:bidi="ar-SA"/>
        </w:rPr>
        <w:t>Gravity equations have been widely used to infer trade</w:t>
      </w:r>
      <w:r w:rsidR="0044467B">
        <w:rPr>
          <w:rFonts w:ascii="Times New Roman" w:eastAsiaTheme="minorEastAsia" w:hAnsi="Times New Roman" w:cs="Times New Roman"/>
          <w:sz w:val="24"/>
          <w:szCs w:val="24"/>
          <w:lang w:bidi="ar-SA"/>
        </w:rPr>
        <w:t>-</w:t>
      </w:r>
      <w:r w:rsidR="005A2251" w:rsidRPr="003C5C93">
        <w:rPr>
          <w:rFonts w:ascii="Times New Roman" w:eastAsiaTheme="minorEastAsia" w:hAnsi="Times New Roman" w:cs="Times New Roman"/>
          <w:sz w:val="24"/>
          <w:szCs w:val="24"/>
          <w:lang w:bidi="ar-SA"/>
        </w:rPr>
        <w:t>flow effects of various institutional arrangements</w:t>
      </w:r>
      <w:r w:rsidR="0044467B">
        <w:rPr>
          <w:rFonts w:ascii="Times New Roman" w:eastAsiaTheme="minorEastAsia" w:hAnsi="Times New Roman" w:cs="Times New Roman"/>
          <w:sz w:val="24"/>
          <w:szCs w:val="24"/>
          <w:lang w:bidi="ar-SA"/>
        </w:rPr>
        <w:t xml:space="preserve">. They have been </w:t>
      </w:r>
      <w:r w:rsidR="005A2251">
        <w:rPr>
          <w:rFonts w:ascii="Times New Roman" w:eastAsiaTheme="minorEastAsia" w:hAnsi="Times New Roman" w:cs="Times New Roman"/>
          <w:sz w:val="24"/>
          <w:szCs w:val="24"/>
          <w:lang w:bidi="ar-SA"/>
        </w:rPr>
        <w:t xml:space="preserve"> </w:t>
      </w:r>
      <w:r w:rsidR="001F3C51">
        <w:rPr>
          <w:rFonts w:ascii="Times New Roman" w:eastAsiaTheme="minorEastAsia" w:hAnsi="Times New Roman" w:cs="Times New Roman"/>
          <w:sz w:val="24"/>
          <w:szCs w:val="24"/>
          <w:lang w:bidi="ar-SA"/>
        </w:rPr>
        <w:t xml:space="preserve">esspecially successful  to explain the </w:t>
      </w:r>
      <w:r w:rsidR="005A2251">
        <w:rPr>
          <w:rFonts w:ascii="Times New Roman" w:eastAsiaTheme="minorEastAsia" w:hAnsi="Times New Roman" w:cs="Times New Roman"/>
          <w:sz w:val="24"/>
          <w:szCs w:val="24"/>
          <w:lang w:bidi="ar-SA"/>
        </w:rPr>
        <w:t xml:space="preserve"> border-effect puzzle</w:t>
      </w:r>
      <w:r w:rsidR="005A2251" w:rsidRPr="003C5C93">
        <w:rPr>
          <w:rFonts w:ascii="Times New Roman" w:eastAsiaTheme="minorEastAsia" w:hAnsi="Times New Roman" w:cs="Times New Roman"/>
          <w:sz w:val="24"/>
          <w:szCs w:val="24"/>
          <w:lang w:bidi="ar-SA"/>
        </w:rPr>
        <w:t xml:space="preserve">. </w:t>
      </w:r>
      <w:r w:rsidR="001F3C51" w:rsidRPr="003C5C93">
        <w:rPr>
          <w:rFonts w:ascii="Times New Roman" w:eastAsiaTheme="minorEastAsia" w:hAnsi="Times New Roman" w:cs="Times New Roman"/>
          <w:sz w:val="24"/>
          <w:szCs w:val="24"/>
          <w:lang w:bidi="ar-SA"/>
        </w:rPr>
        <w:t>McCallum (1995) estimate</w:t>
      </w:r>
      <w:r w:rsidR="001F3C51">
        <w:rPr>
          <w:rFonts w:ascii="Times New Roman" w:eastAsiaTheme="minorEastAsia" w:hAnsi="Times New Roman" w:cs="Times New Roman"/>
          <w:sz w:val="24"/>
          <w:szCs w:val="24"/>
          <w:lang w:bidi="ar-SA"/>
        </w:rPr>
        <w:t>s</w:t>
      </w:r>
      <w:r w:rsidR="001F3C51" w:rsidRPr="003C5C93">
        <w:rPr>
          <w:rFonts w:ascii="Times New Roman" w:eastAsiaTheme="minorEastAsia" w:hAnsi="Times New Roman" w:cs="Times New Roman"/>
          <w:sz w:val="24"/>
          <w:szCs w:val="24"/>
          <w:lang w:bidi="ar-SA"/>
        </w:rPr>
        <w:t xml:space="preserve"> a conventional gravity model where bilateral trade between Canadian provinces, or between a Canadian province and US state, should depend on each of their province or state GDP has</w:t>
      </w:r>
      <w:r w:rsidR="001F3C51">
        <w:rPr>
          <w:rFonts w:ascii="Times New Roman" w:eastAsiaTheme="minorEastAsia" w:hAnsi="Times New Roman" w:cs="Times New Roman"/>
          <w:sz w:val="24"/>
          <w:szCs w:val="24"/>
          <w:lang w:bidi="ar-SA"/>
        </w:rPr>
        <w:t xml:space="preserve"> and distance from the country’s centers</w:t>
      </w:r>
      <w:r w:rsidR="001F3C51" w:rsidRPr="003C5C93">
        <w:rPr>
          <w:rFonts w:ascii="Times New Roman" w:eastAsiaTheme="minorEastAsia" w:hAnsi="Times New Roman" w:cs="Times New Roman"/>
          <w:sz w:val="24"/>
          <w:szCs w:val="24"/>
          <w:lang w:bidi="ar-SA"/>
        </w:rPr>
        <w:t xml:space="preserve">. </w:t>
      </w:r>
      <w:r w:rsidR="001F3C51">
        <w:rPr>
          <w:rFonts w:ascii="Times New Roman" w:eastAsiaTheme="minorEastAsia" w:hAnsi="Times New Roman" w:cs="Times New Roman"/>
          <w:sz w:val="24"/>
          <w:szCs w:val="24"/>
          <w:lang w:bidi="ar-SA"/>
        </w:rPr>
        <w:t xml:space="preserve"> His </w:t>
      </w:r>
      <w:r w:rsidR="005A2251" w:rsidRPr="003C5C93">
        <w:rPr>
          <w:rFonts w:ascii="Times New Roman" w:eastAsiaTheme="minorEastAsia" w:hAnsi="Times New Roman" w:cs="Times New Roman"/>
          <w:sz w:val="24"/>
          <w:szCs w:val="24"/>
          <w:lang w:bidi="ar-SA"/>
        </w:rPr>
        <w:t xml:space="preserve"> study us</w:t>
      </w:r>
      <w:r w:rsidR="001F3C51">
        <w:rPr>
          <w:rFonts w:ascii="Times New Roman" w:eastAsiaTheme="minorEastAsia" w:hAnsi="Times New Roman" w:cs="Times New Roman"/>
          <w:sz w:val="24"/>
          <w:szCs w:val="24"/>
          <w:lang w:bidi="ar-SA"/>
        </w:rPr>
        <w:t>es</w:t>
      </w:r>
      <w:r w:rsidR="005A2251" w:rsidRPr="003C5C93">
        <w:rPr>
          <w:rFonts w:ascii="Times New Roman" w:eastAsiaTheme="minorEastAsia" w:hAnsi="Times New Roman" w:cs="Times New Roman"/>
          <w:sz w:val="24"/>
          <w:szCs w:val="24"/>
          <w:lang w:bidi="ar-SA"/>
        </w:rPr>
        <w:t xml:space="preserve"> 1988 data, just before the Canada–US free trade agreement was signed</w:t>
      </w:r>
      <w:r w:rsidR="005A2251">
        <w:rPr>
          <w:rFonts w:ascii="Times New Roman" w:eastAsiaTheme="minorEastAsia" w:hAnsi="Times New Roman" w:cs="Times New Roman"/>
          <w:sz w:val="24"/>
          <w:szCs w:val="24"/>
          <w:lang w:bidi="ar-SA"/>
        </w:rPr>
        <w:t xml:space="preserve">, </w:t>
      </w:r>
      <w:r w:rsidR="001A2CA5" w:rsidRPr="00650388">
        <w:rPr>
          <w:rFonts w:ascii="Roboto" w:hAnsi="Roboto" w:cs="Arial"/>
          <w:color w:val="111111"/>
          <w:lang w:val="en"/>
        </w:rPr>
        <w:t xml:space="preserve">Although trade economists </w:t>
      </w:r>
      <w:r w:rsidR="001F3C51">
        <w:rPr>
          <w:rFonts w:ascii="Roboto" w:hAnsi="Roboto" w:cs="Arial"/>
          <w:color w:val="111111"/>
          <w:lang w:val="en"/>
        </w:rPr>
        <w:t xml:space="preserve">were </w:t>
      </w:r>
      <w:r w:rsidR="001A2CA5" w:rsidRPr="00650388">
        <w:rPr>
          <w:rFonts w:ascii="Roboto" w:hAnsi="Roboto" w:cs="Arial"/>
          <w:color w:val="111111"/>
          <w:lang w:val="en"/>
        </w:rPr>
        <w:t xml:space="preserve"> not surprised at the existence of a border effect, </w:t>
      </w:r>
      <w:r w:rsidR="003C5C93">
        <w:rPr>
          <w:rFonts w:ascii="Roboto" w:hAnsi="Roboto" w:cs="Arial"/>
          <w:color w:val="111111"/>
          <w:lang w:val="en"/>
        </w:rPr>
        <w:t xml:space="preserve">they </w:t>
      </w:r>
      <w:r w:rsidR="001A2CA5" w:rsidRPr="00650388">
        <w:rPr>
          <w:rFonts w:ascii="Roboto" w:hAnsi="Roboto" w:cs="Arial"/>
          <w:color w:val="111111"/>
          <w:lang w:val="en"/>
        </w:rPr>
        <w:t xml:space="preserve">find significant size of the estimated effect in </w:t>
      </w:r>
      <w:r w:rsidR="001F3C51" w:rsidRPr="003C5C93">
        <w:rPr>
          <w:rFonts w:ascii="Times New Roman" w:eastAsiaTheme="minorEastAsia" w:hAnsi="Times New Roman" w:cs="Times New Roman"/>
          <w:sz w:val="24"/>
          <w:szCs w:val="24"/>
          <w:lang w:bidi="ar-SA"/>
        </w:rPr>
        <w:t xml:space="preserve">McCallum (1995) </w:t>
      </w:r>
      <w:r w:rsidR="001A2CA5" w:rsidRPr="00650388">
        <w:rPr>
          <w:rFonts w:ascii="Roboto" w:hAnsi="Roboto" w:cs="Arial"/>
          <w:color w:val="111111"/>
          <w:lang w:val="en"/>
        </w:rPr>
        <w:t xml:space="preserve">perplexing. </w:t>
      </w:r>
      <w:r w:rsidR="003C5C93" w:rsidRPr="003C5C93">
        <w:rPr>
          <w:rFonts w:ascii="Times New Roman" w:eastAsiaTheme="minorEastAsia" w:hAnsi="Times New Roman" w:cs="Times New Roman"/>
          <w:sz w:val="24"/>
          <w:szCs w:val="24"/>
          <w:lang w:bidi="ar-SA"/>
        </w:rPr>
        <w:t>Anderson and van Wincoop (2001)</w:t>
      </w:r>
      <w:r w:rsidR="001A2CA5" w:rsidRPr="00650388">
        <w:rPr>
          <w:rFonts w:ascii="Roboto" w:hAnsi="Roboto" w:cs="Arial"/>
          <w:color w:val="111111"/>
          <w:lang w:val="en"/>
        </w:rPr>
        <w:t xml:space="preserve"> </w:t>
      </w:r>
      <w:r w:rsidR="002C1B21" w:rsidRPr="00650388">
        <w:rPr>
          <w:rFonts w:ascii="Roboto" w:hAnsi="Roboto" w:cs="Arial"/>
          <w:color w:val="111111"/>
          <w:lang w:val="en"/>
        </w:rPr>
        <w:t>study</w:t>
      </w:r>
      <w:r w:rsidR="003C5C93">
        <w:rPr>
          <w:rFonts w:ascii="Roboto" w:hAnsi="Roboto" w:cs="Arial"/>
          <w:color w:val="111111"/>
          <w:lang w:val="en"/>
        </w:rPr>
        <w:t xml:space="preserve">  </w:t>
      </w:r>
      <w:r w:rsidR="001A2CA5" w:rsidRPr="00650388">
        <w:rPr>
          <w:rFonts w:ascii="Roboto" w:hAnsi="Roboto" w:cs="Arial"/>
          <w:color w:val="111111"/>
          <w:lang w:val="en"/>
        </w:rPr>
        <w:t xml:space="preserve"> show why previous empirical studies have had </w:t>
      </w:r>
      <w:r w:rsidR="001A2CA5" w:rsidRPr="00650388">
        <w:rPr>
          <w:rFonts w:ascii="Roboto" w:hAnsi="Roboto" w:cs="Arial"/>
          <w:color w:val="111111"/>
          <w:lang w:val="en"/>
        </w:rPr>
        <w:lastRenderedPageBreak/>
        <w:t>an upward</w:t>
      </w:r>
      <w:r w:rsidR="003C5C93">
        <w:rPr>
          <w:rFonts w:ascii="Roboto" w:hAnsi="Roboto" w:cs="Arial"/>
          <w:color w:val="111111"/>
          <w:lang w:val="en"/>
        </w:rPr>
        <w:t xml:space="preserve"> </w:t>
      </w:r>
      <w:r w:rsidR="001A2CA5" w:rsidRPr="00650388">
        <w:rPr>
          <w:rFonts w:ascii="Roboto" w:hAnsi="Roboto" w:cs="Arial"/>
          <w:color w:val="111111"/>
          <w:lang w:val="en"/>
        </w:rPr>
        <w:t>bias in the estimation of the border effect.</w:t>
      </w:r>
      <w:r w:rsidR="00650388" w:rsidRPr="003C5C93">
        <w:rPr>
          <w:rFonts w:ascii="Times New Roman" w:eastAsiaTheme="minorEastAsia" w:hAnsi="Times New Roman" w:cs="Times New Roman"/>
          <w:sz w:val="24"/>
          <w:szCs w:val="24"/>
          <w:lang w:bidi="ar-SA"/>
        </w:rPr>
        <w:t xml:space="preserve"> Anderson and van Wincoop (2001) argue that   border effects have an asymmetric effect on countries of different size, and in particular, have a larger effect on small countries.</w:t>
      </w:r>
      <w:r w:rsidR="003B3AC5">
        <w:rPr>
          <w:rFonts w:ascii="Times New Roman" w:eastAsiaTheme="minorEastAsia" w:hAnsi="Times New Roman" w:cs="Times New Roman"/>
          <w:sz w:val="24"/>
          <w:szCs w:val="24"/>
          <w:lang w:bidi="ar-SA"/>
        </w:rPr>
        <w:t xml:space="preserve"> </w:t>
      </w:r>
      <w:r w:rsidR="002C1B21" w:rsidRPr="003C5C93">
        <w:rPr>
          <w:rFonts w:ascii="Times New Roman" w:eastAsiaTheme="minorEastAsia" w:hAnsi="Times New Roman" w:cs="Times New Roman"/>
          <w:sz w:val="24"/>
          <w:szCs w:val="24"/>
          <w:lang w:bidi="ar-SA"/>
        </w:rPr>
        <w:t xml:space="preserve">They </w:t>
      </w:r>
      <w:r w:rsidR="00650388" w:rsidRPr="003C5C93">
        <w:rPr>
          <w:rFonts w:ascii="Times New Roman" w:eastAsiaTheme="minorEastAsia" w:hAnsi="Times New Roman" w:cs="Times New Roman"/>
          <w:sz w:val="24"/>
          <w:szCs w:val="24"/>
          <w:lang w:bidi="ar-SA"/>
        </w:rPr>
        <w:t xml:space="preserve">show </w:t>
      </w:r>
      <w:r w:rsidR="001F3C51">
        <w:rPr>
          <w:rFonts w:ascii="Times New Roman" w:eastAsiaTheme="minorEastAsia" w:hAnsi="Times New Roman" w:cs="Times New Roman"/>
          <w:sz w:val="24"/>
          <w:szCs w:val="24"/>
          <w:lang w:bidi="ar-SA"/>
        </w:rPr>
        <w:t>previous border-effect</w:t>
      </w:r>
      <w:r w:rsidR="00E55BAD">
        <w:rPr>
          <w:rFonts w:ascii="Times New Roman" w:eastAsiaTheme="minorEastAsia" w:hAnsi="Times New Roman" w:cs="Times New Roman"/>
          <w:sz w:val="24"/>
          <w:szCs w:val="24"/>
          <w:lang w:bidi="ar-SA"/>
        </w:rPr>
        <w:t xml:space="preserve"> </w:t>
      </w:r>
      <w:r w:rsidR="00650388" w:rsidRPr="003C5C93">
        <w:rPr>
          <w:rFonts w:ascii="Times New Roman" w:eastAsiaTheme="minorEastAsia" w:hAnsi="Times New Roman" w:cs="Times New Roman"/>
          <w:sz w:val="24"/>
          <w:szCs w:val="24"/>
          <w:lang w:bidi="ar-SA"/>
        </w:rPr>
        <w:t>estimation</w:t>
      </w:r>
      <w:r w:rsidR="001F3C51">
        <w:rPr>
          <w:rFonts w:ascii="Times New Roman" w:eastAsiaTheme="minorEastAsia" w:hAnsi="Times New Roman" w:cs="Times New Roman"/>
          <w:sz w:val="24"/>
          <w:szCs w:val="24"/>
          <w:lang w:bidi="ar-SA"/>
        </w:rPr>
        <w:t>s</w:t>
      </w:r>
      <w:r w:rsidR="00650388" w:rsidRPr="003C5C93">
        <w:rPr>
          <w:rFonts w:ascii="Times New Roman" w:eastAsiaTheme="minorEastAsia" w:hAnsi="Times New Roman" w:cs="Times New Roman"/>
          <w:sz w:val="24"/>
          <w:szCs w:val="24"/>
          <w:lang w:bidi="ar-SA"/>
        </w:rPr>
        <w:t xml:space="preserve"> suffe</w:t>
      </w:r>
      <w:r w:rsidR="001F3C51">
        <w:rPr>
          <w:rFonts w:ascii="Times New Roman" w:eastAsiaTheme="minorEastAsia" w:hAnsi="Times New Roman" w:cs="Times New Roman"/>
          <w:sz w:val="24"/>
          <w:szCs w:val="24"/>
          <w:lang w:bidi="ar-SA"/>
        </w:rPr>
        <w:t>r</w:t>
      </w:r>
      <w:r w:rsidR="00650388" w:rsidRPr="003C5C93">
        <w:rPr>
          <w:rFonts w:ascii="Times New Roman" w:eastAsiaTheme="minorEastAsia" w:hAnsi="Times New Roman" w:cs="Times New Roman"/>
          <w:sz w:val="24"/>
          <w:szCs w:val="24"/>
          <w:lang w:bidi="ar-SA"/>
        </w:rPr>
        <w:t xml:space="preserve"> from omitted variables bias. </w:t>
      </w:r>
      <w:r w:rsidR="001F3C51">
        <w:rPr>
          <w:rFonts w:ascii="Times New Roman" w:eastAsiaTheme="minorEastAsia" w:hAnsi="Times New Roman" w:cs="Times New Roman"/>
          <w:sz w:val="24"/>
          <w:szCs w:val="24"/>
          <w:lang w:bidi="ar-SA"/>
        </w:rPr>
        <w:t>They</w:t>
      </w:r>
      <w:r w:rsidR="002C1B21" w:rsidRPr="003C5C93">
        <w:rPr>
          <w:rFonts w:ascii="Times New Roman" w:eastAsiaTheme="minorEastAsia" w:hAnsi="Times New Roman" w:cs="Times New Roman"/>
          <w:sz w:val="24"/>
          <w:szCs w:val="24"/>
          <w:lang w:bidi="ar-SA"/>
        </w:rPr>
        <w:t xml:space="preserve"> </w:t>
      </w:r>
      <w:r w:rsidR="001F3C51">
        <w:rPr>
          <w:rFonts w:ascii="Times New Roman" w:eastAsiaTheme="minorEastAsia" w:hAnsi="Times New Roman" w:cs="Times New Roman"/>
          <w:sz w:val="24"/>
          <w:szCs w:val="24"/>
          <w:lang w:bidi="ar-SA"/>
        </w:rPr>
        <w:t xml:space="preserve">allow the omitted variables in, and </w:t>
      </w:r>
      <w:r w:rsidR="002C1B21" w:rsidRPr="003C5C93">
        <w:rPr>
          <w:rFonts w:ascii="Times New Roman" w:eastAsiaTheme="minorEastAsia" w:hAnsi="Times New Roman" w:cs="Times New Roman"/>
          <w:sz w:val="24"/>
          <w:szCs w:val="24"/>
          <w:lang w:bidi="ar-SA"/>
        </w:rPr>
        <w:t>find</w:t>
      </w:r>
      <w:r w:rsidR="00650388" w:rsidRPr="003C5C93">
        <w:rPr>
          <w:rFonts w:ascii="Times New Roman" w:eastAsiaTheme="minorEastAsia" w:hAnsi="Times New Roman" w:cs="Times New Roman"/>
          <w:sz w:val="24"/>
          <w:szCs w:val="24"/>
          <w:lang w:bidi="ar-SA"/>
        </w:rPr>
        <w:t xml:space="preserve"> that national borders reduce trade between industrialized countries </w:t>
      </w:r>
      <w:r w:rsidR="002C1B21" w:rsidRPr="003C5C93">
        <w:rPr>
          <w:rFonts w:ascii="Times New Roman" w:eastAsiaTheme="minorEastAsia" w:hAnsi="Times New Roman" w:cs="Times New Roman"/>
          <w:sz w:val="24"/>
          <w:szCs w:val="24"/>
          <w:lang w:bidi="ar-SA"/>
        </w:rPr>
        <w:t>by still</w:t>
      </w:r>
      <w:r w:rsidR="00650388" w:rsidRPr="003C5C93">
        <w:rPr>
          <w:rFonts w:ascii="Times New Roman" w:eastAsiaTheme="minorEastAsia" w:hAnsi="Times New Roman" w:cs="Times New Roman"/>
          <w:sz w:val="24"/>
          <w:szCs w:val="24"/>
          <w:lang w:bidi="ar-SA"/>
        </w:rPr>
        <w:t xml:space="preserve"> </w:t>
      </w:r>
      <w:r w:rsidR="002C1B21" w:rsidRPr="003C5C93">
        <w:rPr>
          <w:rFonts w:ascii="Times New Roman" w:eastAsiaTheme="minorEastAsia" w:hAnsi="Times New Roman" w:cs="Times New Roman"/>
          <w:sz w:val="24"/>
          <w:szCs w:val="24"/>
          <w:lang w:bidi="ar-SA"/>
        </w:rPr>
        <w:t>significant amounts</w:t>
      </w:r>
      <w:r w:rsidR="00650388" w:rsidRPr="003C5C93">
        <w:rPr>
          <w:rFonts w:ascii="Times New Roman" w:eastAsiaTheme="minorEastAsia" w:hAnsi="Times New Roman" w:cs="Times New Roman"/>
          <w:sz w:val="24"/>
          <w:szCs w:val="24"/>
          <w:lang w:bidi="ar-SA"/>
        </w:rPr>
        <w:t xml:space="preserve"> of 20-50 percent. </w:t>
      </w:r>
      <w:r w:rsidR="00650388" w:rsidRPr="003C5C93">
        <w:rPr>
          <w:rFonts w:ascii="Times New Roman" w:eastAsiaTheme="minorEastAsia" w:hAnsi="Times New Roman" w:cs="Times New Roman" w:hint="cs"/>
          <w:sz w:val="24"/>
          <w:szCs w:val="24"/>
          <w:lang w:bidi="ar-SA"/>
        </w:rPr>
        <w:t>C</w:t>
      </w:r>
      <w:r w:rsidR="00650388" w:rsidRPr="003C5C93">
        <w:rPr>
          <w:rFonts w:ascii="Times New Roman" w:eastAsiaTheme="minorEastAsia" w:hAnsi="Times New Roman" w:cs="Times New Roman"/>
          <w:sz w:val="24"/>
          <w:szCs w:val="24"/>
          <w:lang w:bidi="ar-SA"/>
        </w:rPr>
        <w:t>hen (2004)</w:t>
      </w:r>
      <w:r w:rsidR="00DE6B94">
        <w:rPr>
          <w:rFonts w:ascii="Times New Roman" w:eastAsiaTheme="minorEastAsia" w:hAnsi="Times New Roman" w:cs="Times New Roman"/>
          <w:sz w:val="24"/>
          <w:szCs w:val="24"/>
          <w:lang w:bidi="ar-SA"/>
        </w:rPr>
        <w:t>,</w:t>
      </w:r>
      <w:r w:rsidR="00650388" w:rsidRPr="003C5C93">
        <w:rPr>
          <w:rFonts w:ascii="Times New Roman" w:eastAsiaTheme="minorEastAsia" w:hAnsi="Times New Roman" w:cs="Times New Roman"/>
          <w:sz w:val="24"/>
          <w:szCs w:val="24"/>
          <w:lang w:bidi="ar-SA"/>
        </w:rPr>
        <w:t xml:space="preserve"> </w:t>
      </w:r>
      <w:r w:rsidR="003B3AC5">
        <w:rPr>
          <w:rFonts w:ascii="Times New Roman" w:eastAsiaTheme="minorEastAsia" w:hAnsi="Times New Roman" w:cs="Times New Roman"/>
          <w:sz w:val="24"/>
          <w:szCs w:val="24"/>
          <w:lang w:bidi="ar-SA"/>
        </w:rPr>
        <w:t>and Chen and Novy (2011)</w:t>
      </w:r>
      <w:r w:rsidR="00DE6B94">
        <w:rPr>
          <w:rFonts w:ascii="Times New Roman" w:eastAsiaTheme="minorEastAsia" w:hAnsi="Times New Roman" w:cs="Times New Roman"/>
          <w:sz w:val="24"/>
          <w:szCs w:val="24"/>
          <w:lang w:bidi="ar-SA"/>
        </w:rPr>
        <w:t xml:space="preserve">, </w:t>
      </w:r>
      <w:r w:rsidR="00E55BAD">
        <w:rPr>
          <w:rFonts w:ascii="Times New Roman" w:eastAsiaTheme="minorEastAsia" w:hAnsi="Times New Roman" w:cs="Times New Roman"/>
          <w:sz w:val="24"/>
          <w:szCs w:val="24"/>
          <w:lang w:bidi="ar-SA"/>
        </w:rPr>
        <w:t>identif</w:t>
      </w:r>
      <w:r w:rsidR="003B3AC5">
        <w:rPr>
          <w:rFonts w:ascii="Times New Roman" w:eastAsiaTheme="minorEastAsia" w:hAnsi="Times New Roman" w:cs="Times New Roman"/>
          <w:sz w:val="24"/>
          <w:szCs w:val="24"/>
          <w:lang w:bidi="ar-SA"/>
        </w:rPr>
        <w:t>y</w:t>
      </w:r>
      <w:r w:rsidR="00E55BAD">
        <w:rPr>
          <w:rFonts w:ascii="Times New Roman" w:eastAsiaTheme="minorEastAsia" w:hAnsi="Times New Roman" w:cs="Times New Roman"/>
          <w:sz w:val="24"/>
          <w:szCs w:val="24"/>
          <w:lang w:bidi="ar-SA"/>
        </w:rPr>
        <w:t xml:space="preserve"> </w:t>
      </w:r>
      <w:r w:rsidR="003B3AC5">
        <w:rPr>
          <w:rFonts w:ascii="Times New Roman" w:eastAsiaTheme="minorEastAsia" w:hAnsi="Times New Roman" w:cs="Times New Roman"/>
          <w:sz w:val="24"/>
          <w:szCs w:val="24"/>
          <w:lang w:bidi="ar-SA"/>
        </w:rPr>
        <w:t>industry</w:t>
      </w:r>
      <w:r w:rsidR="00DE6B94">
        <w:rPr>
          <w:rFonts w:ascii="Times New Roman" w:eastAsiaTheme="minorEastAsia" w:hAnsi="Times New Roman" w:cs="Times New Roman"/>
          <w:sz w:val="24"/>
          <w:szCs w:val="24"/>
          <w:lang w:bidi="ar-SA"/>
        </w:rPr>
        <w:t>-</w:t>
      </w:r>
      <w:r w:rsidR="003B3AC5">
        <w:rPr>
          <w:rFonts w:ascii="Times New Roman" w:eastAsiaTheme="minorEastAsia" w:hAnsi="Times New Roman" w:cs="Times New Roman"/>
          <w:sz w:val="24"/>
          <w:szCs w:val="24"/>
          <w:lang w:bidi="ar-SA"/>
        </w:rPr>
        <w:t xml:space="preserve">specific </w:t>
      </w:r>
      <w:r w:rsidR="00650388" w:rsidRPr="003C5C93">
        <w:rPr>
          <w:rFonts w:ascii="Times New Roman" w:eastAsiaTheme="minorEastAsia" w:hAnsi="Times New Roman" w:cs="Times New Roman"/>
          <w:sz w:val="24"/>
          <w:szCs w:val="24"/>
          <w:lang w:bidi="ar-SA"/>
        </w:rPr>
        <w:t>trade barriers</w:t>
      </w:r>
      <w:r w:rsidR="00E55BAD">
        <w:rPr>
          <w:rFonts w:ascii="Times New Roman" w:eastAsiaTheme="minorEastAsia" w:hAnsi="Times New Roman" w:cs="Times New Roman"/>
          <w:sz w:val="24"/>
          <w:szCs w:val="24"/>
          <w:lang w:bidi="ar-SA"/>
        </w:rPr>
        <w:t xml:space="preserve"> that are responsible for border effects</w:t>
      </w:r>
      <w:r w:rsidR="005A2251">
        <w:rPr>
          <w:rFonts w:ascii="Times New Roman" w:eastAsiaTheme="minorEastAsia" w:hAnsi="Times New Roman" w:cs="Times New Roman"/>
          <w:sz w:val="24"/>
          <w:szCs w:val="24"/>
          <w:lang w:bidi="ar-SA"/>
        </w:rPr>
        <w:t xml:space="preserve"> </w:t>
      </w:r>
      <w:r w:rsidR="00DE6B94">
        <w:rPr>
          <w:rFonts w:ascii="Times New Roman" w:eastAsiaTheme="minorEastAsia" w:hAnsi="Times New Roman" w:cs="Times New Roman"/>
          <w:sz w:val="24"/>
          <w:szCs w:val="24"/>
          <w:lang w:bidi="ar-SA"/>
        </w:rPr>
        <w:t xml:space="preserve">such </w:t>
      </w:r>
      <w:r w:rsidR="00FD01CD">
        <w:rPr>
          <w:rFonts w:ascii="Times New Roman" w:eastAsiaTheme="minorEastAsia" w:hAnsi="Times New Roman" w:cs="Times New Roman"/>
          <w:sz w:val="24"/>
          <w:szCs w:val="24"/>
          <w:lang w:bidi="ar-SA"/>
        </w:rPr>
        <w:t>as country</w:t>
      </w:r>
      <w:r w:rsidR="005A2251" w:rsidRPr="009960CD">
        <w:t xml:space="preserve"> specific standards, regulations, etc.</w:t>
      </w:r>
      <w:r w:rsidR="001C6DE5">
        <w:t xml:space="preserve"> </w:t>
      </w:r>
      <w:r w:rsidR="001C6DE5" w:rsidRPr="001F3C51">
        <w:rPr>
          <w:rFonts w:ascii="Times New Roman" w:eastAsiaTheme="minorEastAsia" w:hAnsi="Times New Roman" w:cs="Times New Roman"/>
          <w:sz w:val="24"/>
          <w:szCs w:val="24"/>
          <w:lang w:bidi="ar-SA"/>
        </w:rPr>
        <w:t>Fouquin</w:t>
      </w:r>
      <w:r w:rsidR="001F3C51" w:rsidRPr="001F3C51">
        <w:rPr>
          <w:rFonts w:ascii="Times New Roman" w:eastAsiaTheme="minorEastAsia" w:hAnsi="Times New Roman" w:cs="Times New Roman"/>
          <w:sz w:val="24"/>
          <w:szCs w:val="24"/>
          <w:lang w:bidi="ar-SA"/>
        </w:rPr>
        <w:t>,</w:t>
      </w:r>
      <w:r w:rsidR="001F3C51" w:rsidRPr="001C6DE5">
        <w:rPr>
          <w:rFonts w:ascii="Times New Roman" w:eastAsiaTheme="minorEastAsia" w:hAnsi="Times New Roman" w:cs="Times New Roman"/>
          <w:sz w:val="24"/>
          <w:szCs w:val="24"/>
          <w:lang w:bidi="ar-SA"/>
        </w:rPr>
        <w:t xml:space="preserve"> and</w:t>
      </w:r>
      <w:r w:rsidR="001C6DE5" w:rsidRPr="001C6DE5">
        <w:rPr>
          <w:rFonts w:ascii="Times New Roman" w:eastAsiaTheme="minorEastAsia" w:hAnsi="Times New Roman" w:cs="Times New Roman"/>
          <w:sz w:val="24"/>
          <w:szCs w:val="24"/>
          <w:lang w:bidi="ar-SA"/>
        </w:rPr>
        <w:t xml:space="preserve"> Hugot (2016)</w:t>
      </w:r>
      <w:r w:rsidR="001F3C51">
        <w:rPr>
          <w:rFonts w:ascii="Times New Roman" w:eastAsiaTheme="minorEastAsia" w:hAnsi="Times New Roman" w:cs="Times New Roman"/>
          <w:sz w:val="24"/>
          <w:szCs w:val="24"/>
          <w:lang w:bidi="ar-SA"/>
        </w:rPr>
        <w:t>,</w:t>
      </w:r>
      <w:r w:rsidR="001C6DE5" w:rsidRPr="001C6DE5">
        <w:rPr>
          <w:rFonts w:ascii="Times New Roman" w:eastAsiaTheme="minorEastAsia" w:hAnsi="Times New Roman" w:cs="Times New Roman"/>
          <w:sz w:val="24"/>
          <w:szCs w:val="24"/>
          <w:lang w:bidi="ar-SA"/>
        </w:rPr>
        <w:t xml:space="preserve"> use a gravity theory-grounded measure to </w:t>
      </w:r>
      <w:r w:rsidR="001F3C51">
        <w:rPr>
          <w:rFonts w:ascii="Times New Roman" w:eastAsiaTheme="minorEastAsia" w:hAnsi="Times New Roman" w:cs="Times New Roman"/>
          <w:sz w:val="24"/>
          <w:szCs w:val="24"/>
          <w:lang w:bidi="ar-SA"/>
        </w:rPr>
        <w:t xml:space="preserve">create a rich data set of </w:t>
      </w:r>
      <w:r w:rsidR="001C6DE5" w:rsidRPr="001C6DE5">
        <w:rPr>
          <w:rFonts w:ascii="Times New Roman" w:eastAsiaTheme="minorEastAsia" w:hAnsi="Times New Roman" w:cs="Times New Roman"/>
          <w:sz w:val="24"/>
          <w:szCs w:val="24"/>
          <w:lang w:bidi="ar-SA"/>
        </w:rPr>
        <w:t xml:space="preserve">bilateral relative trade costs. </w:t>
      </w:r>
      <w:r w:rsidR="001F3C51">
        <w:rPr>
          <w:rFonts w:ascii="Times New Roman" w:eastAsiaTheme="minorEastAsia" w:hAnsi="Times New Roman" w:cs="Times New Roman"/>
          <w:sz w:val="24"/>
          <w:szCs w:val="24"/>
          <w:lang w:bidi="ar-SA"/>
        </w:rPr>
        <w:t xml:space="preserve"> </w:t>
      </w:r>
      <w:r w:rsidR="001C6DE5" w:rsidRPr="001C6DE5">
        <w:rPr>
          <w:rFonts w:ascii="Times New Roman" w:eastAsiaTheme="minorEastAsia" w:hAnsi="Times New Roman" w:cs="Times New Roman"/>
          <w:sz w:val="24"/>
          <w:szCs w:val="24"/>
          <w:lang w:bidi="ar-SA"/>
        </w:rPr>
        <w:t xml:space="preserve">The trade costs </w:t>
      </w:r>
      <w:r w:rsidR="001F3C51" w:rsidRPr="001C6DE5">
        <w:rPr>
          <w:rFonts w:ascii="Times New Roman" w:eastAsiaTheme="minorEastAsia" w:hAnsi="Times New Roman" w:cs="Times New Roman"/>
          <w:sz w:val="24"/>
          <w:szCs w:val="24"/>
          <w:lang w:bidi="ar-SA"/>
        </w:rPr>
        <w:t>are</w:t>
      </w:r>
      <w:r w:rsidR="001F3C51">
        <w:rPr>
          <w:rFonts w:ascii="Times New Roman" w:eastAsiaTheme="minorEastAsia" w:hAnsi="Times New Roman" w:cs="Times New Roman"/>
          <w:sz w:val="24"/>
          <w:szCs w:val="24"/>
          <w:lang w:bidi="ar-SA"/>
        </w:rPr>
        <w:t xml:space="preserve"> </w:t>
      </w:r>
      <w:r w:rsidR="001F3C51" w:rsidRPr="001C6DE5">
        <w:rPr>
          <w:rFonts w:ascii="Times New Roman" w:eastAsiaTheme="minorEastAsia" w:hAnsi="Times New Roman" w:cs="Times New Roman"/>
          <w:sz w:val="24"/>
          <w:szCs w:val="24"/>
          <w:lang w:bidi="ar-SA"/>
        </w:rPr>
        <w:t>aggregated</w:t>
      </w:r>
      <w:r w:rsidR="001C6DE5" w:rsidRPr="001C6DE5">
        <w:rPr>
          <w:rFonts w:ascii="Times New Roman" w:eastAsiaTheme="minorEastAsia" w:hAnsi="Times New Roman" w:cs="Times New Roman"/>
          <w:sz w:val="24"/>
          <w:szCs w:val="24"/>
          <w:lang w:bidi="ar-SA"/>
        </w:rPr>
        <w:t xml:space="preserve"> to obtain world indices</w:t>
      </w:r>
      <w:r w:rsidR="0035767C">
        <w:rPr>
          <w:rFonts w:ascii="Times New Roman" w:eastAsiaTheme="minorEastAsia" w:hAnsi="Times New Roman" w:cs="Times New Roman"/>
          <w:sz w:val="24"/>
          <w:szCs w:val="24"/>
          <w:lang w:bidi="ar-SA"/>
        </w:rPr>
        <w:t xml:space="preserve">, </w:t>
      </w:r>
      <w:r w:rsidR="0035767C" w:rsidRPr="001C6DE5">
        <w:rPr>
          <w:rFonts w:ascii="Times New Roman" w:eastAsiaTheme="minorEastAsia" w:hAnsi="Times New Roman" w:cs="Times New Roman"/>
          <w:sz w:val="24"/>
          <w:szCs w:val="24"/>
          <w:lang w:bidi="ar-SA"/>
        </w:rPr>
        <w:t>as</w:t>
      </w:r>
      <w:r w:rsidR="001C6DE5" w:rsidRPr="001C6DE5">
        <w:rPr>
          <w:rFonts w:ascii="Times New Roman" w:eastAsiaTheme="minorEastAsia" w:hAnsi="Times New Roman" w:cs="Times New Roman"/>
          <w:sz w:val="24"/>
          <w:szCs w:val="24"/>
          <w:lang w:bidi="ar-SA"/>
        </w:rPr>
        <w:t xml:space="preserve"> well as indices along various trade routes</w:t>
      </w:r>
      <w:r w:rsidR="001F3C51">
        <w:rPr>
          <w:rFonts w:ascii="Times New Roman" w:eastAsiaTheme="minorEastAsia" w:hAnsi="Times New Roman" w:cs="Times New Roman"/>
          <w:sz w:val="24"/>
          <w:szCs w:val="24"/>
          <w:lang w:bidi="ar-SA"/>
        </w:rPr>
        <w:t xml:space="preserve">. They find that </w:t>
      </w:r>
      <w:r w:rsidR="001C6DE5" w:rsidRPr="001C6DE5">
        <w:rPr>
          <w:rFonts w:ascii="Times New Roman" w:eastAsiaTheme="minorEastAsia" w:hAnsi="Times New Roman" w:cs="Times New Roman"/>
          <w:sz w:val="24"/>
          <w:szCs w:val="24"/>
          <w:lang w:bidi="ar-SA"/>
        </w:rPr>
        <w:t xml:space="preserve">the </w:t>
      </w:r>
      <w:r w:rsidR="0042025A">
        <w:rPr>
          <w:rFonts w:ascii="Times New Roman" w:eastAsiaTheme="minorEastAsia" w:hAnsi="Times New Roman" w:cs="Times New Roman"/>
          <w:sz w:val="24"/>
          <w:szCs w:val="24"/>
          <w:lang w:bidi="ar-SA"/>
        </w:rPr>
        <w:t xml:space="preserve">post-WWII </w:t>
      </w:r>
      <w:r w:rsidR="001C6DE5" w:rsidRPr="001C6DE5">
        <w:rPr>
          <w:rFonts w:ascii="Times New Roman" w:eastAsiaTheme="minorEastAsia" w:hAnsi="Times New Roman" w:cs="Times New Roman"/>
          <w:sz w:val="24"/>
          <w:szCs w:val="24"/>
          <w:lang w:bidi="ar-SA"/>
        </w:rPr>
        <w:t xml:space="preserve">fall of trade costs </w:t>
      </w:r>
      <w:r w:rsidR="001F3C51">
        <w:rPr>
          <w:rFonts w:ascii="Times New Roman" w:eastAsiaTheme="minorEastAsia" w:hAnsi="Times New Roman" w:cs="Times New Roman"/>
          <w:sz w:val="24"/>
          <w:szCs w:val="24"/>
          <w:lang w:bidi="ar-SA"/>
        </w:rPr>
        <w:t xml:space="preserve">in recent times </w:t>
      </w:r>
      <w:r w:rsidR="001C6DE5" w:rsidRPr="001C6DE5">
        <w:rPr>
          <w:rFonts w:ascii="Times New Roman" w:eastAsiaTheme="minorEastAsia" w:hAnsi="Times New Roman" w:cs="Times New Roman"/>
          <w:sz w:val="24"/>
          <w:szCs w:val="24"/>
          <w:lang w:bidi="ar-SA"/>
        </w:rPr>
        <w:t>began in Europe before extending to the rest of the world.</w:t>
      </w:r>
    </w:p>
    <w:p w14:paraId="4CFB60CB" w14:textId="531C3161" w:rsidR="00D446EE" w:rsidRPr="009960CD" w:rsidRDefault="0035767C" w:rsidP="00943571">
      <w:pPr>
        <w:pStyle w:val="10"/>
        <w:rPr>
          <w:lang w:val="en-US"/>
        </w:rPr>
      </w:pPr>
      <w:r>
        <w:rPr>
          <w:lang w:val="en"/>
        </w:rPr>
        <w:t xml:space="preserve">The </w:t>
      </w:r>
      <w:r w:rsidR="00DE6B94">
        <w:rPr>
          <w:lang w:val="en"/>
        </w:rPr>
        <w:t>present paper focus</w:t>
      </w:r>
      <w:r>
        <w:rPr>
          <w:lang w:val="en"/>
        </w:rPr>
        <w:t xml:space="preserve">es </w:t>
      </w:r>
      <w:r w:rsidR="00DE6B94">
        <w:rPr>
          <w:lang w:val="en"/>
        </w:rPr>
        <w:t xml:space="preserve">on the </w:t>
      </w:r>
      <w:r>
        <w:rPr>
          <w:lang w:val="en"/>
        </w:rPr>
        <w:t xml:space="preserve">gradual </w:t>
      </w:r>
      <w:r w:rsidR="005A2251">
        <w:rPr>
          <w:lang w:val="en"/>
        </w:rPr>
        <w:t>process of diminishing border effects</w:t>
      </w:r>
      <w:r w:rsidR="00DE6B94">
        <w:rPr>
          <w:lang w:val="en"/>
        </w:rPr>
        <w:t xml:space="preserve"> (that is</w:t>
      </w:r>
      <w:r>
        <w:rPr>
          <w:lang w:val="en"/>
        </w:rPr>
        <w:t xml:space="preserve">, the </w:t>
      </w:r>
      <w:r w:rsidR="00DE6B94">
        <w:rPr>
          <w:lang w:val="en"/>
        </w:rPr>
        <w:t xml:space="preserve"> increased </w:t>
      </w:r>
      <w:r>
        <w:rPr>
          <w:lang w:val="en"/>
        </w:rPr>
        <w:t xml:space="preserve">intensity of trade </w:t>
      </w:r>
      <w:r w:rsidR="00DE6B94">
        <w:rPr>
          <w:lang w:val="en"/>
        </w:rPr>
        <w:t xml:space="preserve">globalization) </w:t>
      </w:r>
      <w:r w:rsidR="00514225">
        <w:rPr>
          <w:lang w:val="en"/>
        </w:rPr>
        <w:t>on domestic factor prices</w:t>
      </w:r>
      <w:r w:rsidR="00DE6B94">
        <w:rPr>
          <w:lang w:val="en"/>
        </w:rPr>
        <w:t xml:space="preserve"> and income inequality</w:t>
      </w:r>
      <w:r w:rsidR="00514225">
        <w:rPr>
          <w:lang w:val="en"/>
        </w:rPr>
        <w:t>.</w:t>
      </w:r>
      <w:r w:rsidR="00EF1BAC">
        <w:rPr>
          <w:lang w:val="en"/>
        </w:rPr>
        <w:t xml:space="preserve"> </w:t>
      </w:r>
      <w:r w:rsidR="00561F61">
        <w:rPr>
          <w:lang w:val="en"/>
        </w:rPr>
        <w:t xml:space="preserve">For this purpose, </w:t>
      </w:r>
      <w:r>
        <w:rPr>
          <w:lang w:val="en"/>
        </w:rPr>
        <w:t xml:space="preserve">our model </w:t>
      </w:r>
      <w:r w:rsidR="00B6067D">
        <w:rPr>
          <w:lang w:val="en"/>
        </w:rPr>
        <w:t>appl</w:t>
      </w:r>
      <w:r>
        <w:rPr>
          <w:lang w:val="en"/>
        </w:rPr>
        <w:t xml:space="preserve">ies </w:t>
      </w:r>
      <w:r w:rsidR="00076717">
        <w:rPr>
          <w:lang w:val="en"/>
        </w:rPr>
        <w:t>a standard</w:t>
      </w:r>
      <w:r w:rsidR="00552DDE" w:rsidRPr="009960CD">
        <w:rPr>
          <w:lang w:val="en-US"/>
        </w:rPr>
        <w:t xml:space="preserve"> factor </w:t>
      </w:r>
      <w:r w:rsidR="002C1B21" w:rsidRPr="009960CD">
        <w:rPr>
          <w:lang w:val="en-US"/>
        </w:rPr>
        <w:t>proportion</w:t>
      </w:r>
      <w:r w:rsidR="00EF1BAC">
        <w:rPr>
          <w:lang w:val="en-US"/>
        </w:rPr>
        <w:t xml:space="preserve"> (</w:t>
      </w:r>
      <w:r w:rsidR="00EF1BAC" w:rsidRPr="009960CD">
        <w:rPr>
          <w:lang w:val="en-US"/>
        </w:rPr>
        <w:t>Heckscher-Ohlin</w:t>
      </w:r>
      <w:r w:rsidR="00EF1BAC">
        <w:rPr>
          <w:lang w:val="en-US"/>
        </w:rPr>
        <w:t>) model, except</w:t>
      </w:r>
      <w:r w:rsidR="0004559D">
        <w:rPr>
          <w:lang w:val="en-US"/>
        </w:rPr>
        <w:t xml:space="preserve"> that </w:t>
      </w:r>
      <w:r w:rsidR="00552DDE" w:rsidRPr="009960CD">
        <w:rPr>
          <w:lang w:val="en-US"/>
        </w:rPr>
        <w:t>factor</w:t>
      </w:r>
      <w:r w:rsidR="0004559D">
        <w:rPr>
          <w:lang w:val="en-US"/>
        </w:rPr>
        <w:t>s’</w:t>
      </w:r>
      <w:r w:rsidR="00552DDE" w:rsidRPr="009960CD">
        <w:rPr>
          <w:lang w:val="en-US"/>
        </w:rPr>
        <w:t xml:space="preserve"> supply</w:t>
      </w:r>
      <w:r w:rsidR="0004559D">
        <w:rPr>
          <w:lang w:val="en-US"/>
        </w:rPr>
        <w:t xml:space="preserve"> is endogenous in </w:t>
      </w:r>
      <w:r w:rsidR="00DE6B94">
        <w:rPr>
          <w:lang w:val="en-US"/>
        </w:rPr>
        <w:t>the</w:t>
      </w:r>
      <w:r w:rsidR="0004559D">
        <w:rPr>
          <w:lang w:val="en-US"/>
        </w:rPr>
        <w:t xml:space="preserve"> model</w:t>
      </w:r>
      <w:r w:rsidR="00552DDE" w:rsidRPr="009960CD">
        <w:rPr>
          <w:lang w:val="en-US"/>
        </w:rPr>
        <w:t>. The endogeneity of labor supply stems from the possibility of high-skilled emigration. The endogeneity of capital</w:t>
      </w:r>
      <w:r w:rsidR="00EF1BAC">
        <w:rPr>
          <w:lang w:val="en-US"/>
        </w:rPr>
        <w:t xml:space="preserve"> </w:t>
      </w:r>
      <w:r w:rsidR="00561F61">
        <w:rPr>
          <w:lang w:val="en-US"/>
        </w:rPr>
        <w:t xml:space="preserve">supply </w:t>
      </w:r>
      <w:r w:rsidR="00561F61" w:rsidRPr="009960CD">
        <w:rPr>
          <w:lang w:val="en-US"/>
        </w:rPr>
        <w:t>arises</w:t>
      </w:r>
      <w:r w:rsidR="00552DDE" w:rsidRPr="009960CD">
        <w:rPr>
          <w:lang w:val="en-US"/>
        </w:rPr>
        <w:t xml:space="preserve"> from</w:t>
      </w:r>
      <w:r>
        <w:rPr>
          <w:lang w:val="en-US"/>
        </w:rPr>
        <w:t xml:space="preserve"> the endogeneity </w:t>
      </w:r>
      <w:r w:rsidR="00076717">
        <w:rPr>
          <w:lang w:val="en-US"/>
        </w:rPr>
        <w:t>of domestic</w:t>
      </w:r>
      <w:r>
        <w:rPr>
          <w:lang w:val="en-US"/>
        </w:rPr>
        <w:t xml:space="preserve"> savings</w:t>
      </w:r>
      <w:r w:rsidR="00552DDE" w:rsidRPr="009960CD">
        <w:rPr>
          <w:lang w:val="en-US"/>
        </w:rPr>
        <w:t xml:space="preserve">. The model lends itself in a straightforward manner to </w:t>
      </w:r>
      <w:r>
        <w:rPr>
          <w:lang w:val="en-US"/>
        </w:rPr>
        <w:t xml:space="preserve">an analysis of </w:t>
      </w:r>
      <w:r w:rsidR="00552DDE" w:rsidRPr="009960CD">
        <w:rPr>
          <w:lang w:val="en-US"/>
        </w:rPr>
        <w:t>the effect of the world prices of final goods on domestic factor prices a la S</w:t>
      </w:r>
      <w:r w:rsidR="00674540">
        <w:rPr>
          <w:lang w:val="en-US"/>
        </w:rPr>
        <w:t>t</w:t>
      </w:r>
      <w:r w:rsidR="00552DDE" w:rsidRPr="009960CD">
        <w:rPr>
          <w:lang w:val="en-US"/>
        </w:rPr>
        <w:t>olper and Samuelson (1941)</w:t>
      </w:r>
      <w:r>
        <w:rPr>
          <w:lang w:val="en-US"/>
        </w:rPr>
        <w:t xml:space="preserve">. In addition, the model includes a </w:t>
      </w:r>
      <w:r w:rsidR="00561F61">
        <w:rPr>
          <w:lang w:val="en-US"/>
        </w:rPr>
        <w:t xml:space="preserve">reinforcing </w:t>
      </w:r>
      <w:r w:rsidR="00561F61" w:rsidRPr="009960CD">
        <w:rPr>
          <w:lang w:val="en-US"/>
        </w:rPr>
        <w:t>effect</w:t>
      </w:r>
      <w:r>
        <w:rPr>
          <w:lang w:val="en-US"/>
        </w:rPr>
        <w:t xml:space="preserve"> whereby the change in </w:t>
      </w:r>
      <w:r w:rsidR="00076717">
        <w:rPr>
          <w:lang w:val="en-US"/>
        </w:rPr>
        <w:t xml:space="preserve">the </w:t>
      </w:r>
      <w:r w:rsidR="00076717" w:rsidRPr="009960CD">
        <w:rPr>
          <w:lang w:val="en-US"/>
        </w:rPr>
        <w:t>domestic</w:t>
      </w:r>
      <w:r w:rsidR="00552DDE" w:rsidRPr="009960CD">
        <w:rPr>
          <w:lang w:val="en-US"/>
        </w:rPr>
        <w:t xml:space="preserve"> factor prices</w:t>
      </w:r>
      <w:r>
        <w:rPr>
          <w:lang w:val="en-US"/>
        </w:rPr>
        <w:t>, triggers</w:t>
      </w:r>
      <w:r w:rsidR="00552DDE" w:rsidRPr="009960CD">
        <w:rPr>
          <w:lang w:val="en-US"/>
        </w:rPr>
        <w:t xml:space="preserve"> capital formation</w:t>
      </w:r>
      <w:r w:rsidR="00561F61">
        <w:rPr>
          <w:lang w:val="en-US"/>
        </w:rPr>
        <w:t xml:space="preserve"> through savings</w:t>
      </w:r>
      <w:r w:rsidR="00552DDE" w:rsidRPr="009960CD">
        <w:rPr>
          <w:lang w:val="en-US"/>
        </w:rPr>
        <w:t xml:space="preserve"> a la Rybsczinski (</w:t>
      </w:r>
      <w:r w:rsidR="002C1B21" w:rsidRPr="009960CD">
        <w:rPr>
          <w:lang w:val="en-US"/>
        </w:rPr>
        <w:t>1955)</w:t>
      </w:r>
      <w:r w:rsidR="00552DDE" w:rsidRPr="009960CD">
        <w:rPr>
          <w:lang w:val="en-US"/>
        </w:rPr>
        <w:t xml:space="preserve">. </w:t>
      </w:r>
      <w:r w:rsidR="00514225">
        <w:rPr>
          <w:lang w:val="en-US"/>
        </w:rPr>
        <w:t>Increased t</w:t>
      </w:r>
      <w:r w:rsidR="00552DDE" w:rsidRPr="009960CD">
        <w:rPr>
          <w:lang w:val="en-US"/>
        </w:rPr>
        <w:t>rade globalization</w:t>
      </w:r>
      <w:r>
        <w:rPr>
          <w:lang w:val="en-US"/>
        </w:rPr>
        <w:t xml:space="preserve"> intensity means simply an exogenous  </w:t>
      </w:r>
      <w:r w:rsidR="00552DDE" w:rsidRPr="009960CD">
        <w:rPr>
          <w:lang w:val="en-US"/>
        </w:rPr>
        <w:t xml:space="preserve"> </w:t>
      </w:r>
      <w:r>
        <w:rPr>
          <w:lang w:val="en-US"/>
        </w:rPr>
        <w:t xml:space="preserve">reduction </w:t>
      </w:r>
      <w:r w:rsidR="00076717">
        <w:rPr>
          <w:lang w:val="en-US"/>
        </w:rPr>
        <w:t xml:space="preserve">in </w:t>
      </w:r>
      <w:r w:rsidR="00076717" w:rsidRPr="009960CD">
        <w:rPr>
          <w:lang w:val="en-US"/>
        </w:rPr>
        <w:t>the</w:t>
      </w:r>
      <w:r w:rsidR="00552DDE" w:rsidRPr="009960CD">
        <w:rPr>
          <w:lang w:val="en-US"/>
        </w:rPr>
        <w:t xml:space="preserve"> wedge between world prices and domestic final </w:t>
      </w:r>
      <w:r w:rsidR="00561F61">
        <w:rPr>
          <w:lang w:val="en-US"/>
        </w:rPr>
        <w:t xml:space="preserve">good </w:t>
      </w:r>
      <w:r w:rsidR="002C1B21" w:rsidRPr="009960CD">
        <w:rPr>
          <w:lang w:val="en-US"/>
        </w:rPr>
        <w:t>prices</w:t>
      </w:r>
      <w:r w:rsidR="00552DDE" w:rsidRPr="009960CD">
        <w:rPr>
          <w:lang w:val="en-US"/>
        </w:rPr>
        <w:t xml:space="preserve">. </w:t>
      </w:r>
      <w:r>
        <w:rPr>
          <w:lang w:val="en-US"/>
        </w:rPr>
        <w:t xml:space="preserve">Naturally, this </w:t>
      </w:r>
      <w:r w:rsidR="00552DDE" w:rsidRPr="009960CD">
        <w:rPr>
          <w:lang w:val="en-US"/>
        </w:rPr>
        <w:t xml:space="preserve">Stolper-Samuelson </w:t>
      </w:r>
      <w:r w:rsidR="002C1B21" w:rsidRPr="009960CD">
        <w:rPr>
          <w:lang w:val="en-US"/>
        </w:rPr>
        <w:t>type changes in</w:t>
      </w:r>
      <w:r w:rsidR="00552DDE" w:rsidRPr="009960CD">
        <w:rPr>
          <w:lang w:val="en-US"/>
        </w:rPr>
        <w:t xml:space="preserve"> domestic factor </w:t>
      </w:r>
      <w:r w:rsidR="00943571">
        <w:rPr>
          <w:lang w:val="en-US"/>
        </w:rPr>
        <w:t xml:space="preserve">price </w:t>
      </w:r>
      <w:r w:rsidR="00552DDE" w:rsidRPr="009960CD">
        <w:rPr>
          <w:lang w:val="en-US"/>
        </w:rPr>
        <w:t>change</w:t>
      </w:r>
      <w:r w:rsidR="00DE6B94">
        <w:rPr>
          <w:lang w:val="en-US"/>
        </w:rPr>
        <w:t>s</w:t>
      </w:r>
      <w:r w:rsidR="00552DDE" w:rsidRPr="009960CD">
        <w:rPr>
          <w:lang w:val="en-US"/>
        </w:rPr>
        <w:t xml:space="preserve"> </w:t>
      </w:r>
      <w:r>
        <w:rPr>
          <w:lang w:val="en-US"/>
        </w:rPr>
        <w:t>trigger a standard re</w:t>
      </w:r>
      <w:r w:rsidR="00552DDE" w:rsidRPr="009960CD">
        <w:rPr>
          <w:lang w:val="en-US"/>
        </w:rPr>
        <w:t>allocation</w:t>
      </w:r>
      <w:r>
        <w:rPr>
          <w:lang w:val="en-US"/>
        </w:rPr>
        <w:t xml:space="preserve"> </w:t>
      </w:r>
      <w:r w:rsidR="00076717">
        <w:rPr>
          <w:lang w:val="en-US"/>
        </w:rPr>
        <w:t xml:space="preserve">process </w:t>
      </w:r>
      <w:r w:rsidR="00076717" w:rsidRPr="009960CD">
        <w:rPr>
          <w:lang w:val="en-US"/>
        </w:rPr>
        <w:t>of</w:t>
      </w:r>
      <w:r w:rsidR="00552DDE" w:rsidRPr="009960CD">
        <w:rPr>
          <w:lang w:val="en-US"/>
        </w:rPr>
        <w:t xml:space="preserve"> domestic </w:t>
      </w:r>
      <w:r w:rsidR="00552DDE" w:rsidRPr="009960CD">
        <w:rPr>
          <w:lang w:val="en-US"/>
        </w:rPr>
        <w:lastRenderedPageBreak/>
        <w:t>factors of production</w:t>
      </w:r>
      <w:r>
        <w:rPr>
          <w:lang w:val="en-US"/>
        </w:rPr>
        <w:t xml:space="preserve"> across sectors and affect the prices of domestic factors of production. </w:t>
      </w:r>
      <w:r w:rsidR="00DE6B94">
        <w:rPr>
          <w:lang w:val="en-US"/>
        </w:rPr>
        <w:t xml:space="preserve"> </w:t>
      </w:r>
      <w:r w:rsidR="00943571">
        <w:rPr>
          <w:lang w:val="en-US"/>
        </w:rPr>
        <w:t>Furthermore, t</w:t>
      </w:r>
      <w:r w:rsidR="00DE6B94">
        <w:rPr>
          <w:lang w:val="en-US"/>
        </w:rPr>
        <w:t xml:space="preserve">he </w:t>
      </w:r>
      <w:r w:rsidR="00943571">
        <w:rPr>
          <w:lang w:val="en-US"/>
        </w:rPr>
        <w:t xml:space="preserve">ensuing </w:t>
      </w:r>
      <w:r>
        <w:rPr>
          <w:lang w:val="en-US"/>
        </w:rPr>
        <w:t xml:space="preserve">changes in factor prices </w:t>
      </w:r>
      <w:r w:rsidR="00943571">
        <w:rPr>
          <w:lang w:val="en-US"/>
        </w:rPr>
        <w:t>trigger</w:t>
      </w:r>
      <w:r w:rsidR="00076717">
        <w:rPr>
          <w:lang w:val="en-US"/>
        </w:rPr>
        <w:t xml:space="preserve"> </w:t>
      </w:r>
      <w:r w:rsidR="00076717" w:rsidRPr="009960CD">
        <w:rPr>
          <w:lang w:val="en-US"/>
        </w:rPr>
        <w:t>changes</w:t>
      </w:r>
      <w:r>
        <w:rPr>
          <w:lang w:val="en-US"/>
        </w:rPr>
        <w:t xml:space="preserve"> in </w:t>
      </w:r>
      <w:r w:rsidR="002C1B21" w:rsidRPr="009960CD">
        <w:rPr>
          <w:lang w:val="en-US"/>
        </w:rPr>
        <w:t>savings</w:t>
      </w:r>
      <w:r w:rsidR="00DE6B94">
        <w:rPr>
          <w:lang w:val="en-US"/>
        </w:rPr>
        <w:t xml:space="preserve"> and capital formation</w:t>
      </w:r>
      <w:r w:rsidR="00076717">
        <w:rPr>
          <w:lang w:val="en-US"/>
        </w:rPr>
        <w:t>. The</w:t>
      </w:r>
      <w:r w:rsidR="00943571">
        <w:rPr>
          <w:lang w:val="en-US"/>
        </w:rPr>
        <w:t xml:space="preserve"> </w:t>
      </w:r>
      <w:r w:rsidR="00076717">
        <w:rPr>
          <w:lang w:val="en-US"/>
        </w:rPr>
        <w:t xml:space="preserve"> induce</w:t>
      </w:r>
      <w:r w:rsidR="00943571">
        <w:rPr>
          <w:lang w:val="en-US"/>
        </w:rPr>
        <w:t>d</w:t>
      </w:r>
      <w:r w:rsidR="00076717">
        <w:rPr>
          <w:lang w:val="en-US"/>
        </w:rPr>
        <w:t xml:space="preserve"> changes in high</w:t>
      </w:r>
      <w:r w:rsidR="00DE6B94">
        <w:rPr>
          <w:lang w:val="en-US"/>
        </w:rPr>
        <w:t>-skilled emigration</w:t>
      </w:r>
      <w:r w:rsidR="00943571">
        <w:rPr>
          <w:lang w:val="en-US"/>
        </w:rPr>
        <w:t xml:space="preserve"> and capital formation lead in turn to </w:t>
      </w:r>
      <w:r w:rsidR="00076717">
        <w:rPr>
          <w:lang w:val="en-US"/>
        </w:rPr>
        <w:t xml:space="preserve">changes in </w:t>
      </w:r>
      <w:r w:rsidR="00943571">
        <w:rPr>
          <w:lang w:val="en-US"/>
        </w:rPr>
        <w:t xml:space="preserve">the </w:t>
      </w:r>
      <w:r w:rsidR="00076717">
        <w:rPr>
          <w:lang w:val="en-US"/>
        </w:rPr>
        <w:t>factor supply</w:t>
      </w:r>
      <w:r w:rsidR="00076717" w:rsidRPr="009960CD">
        <w:rPr>
          <w:lang w:val="en-US"/>
        </w:rPr>
        <w:t>.</w:t>
      </w:r>
      <w:r w:rsidR="00076717">
        <w:rPr>
          <w:lang w:val="en-US"/>
        </w:rPr>
        <w:t xml:space="preserve"> </w:t>
      </w:r>
      <w:r w:rsidR="00943571">
        <w:rPr>
          <w:lang w:val="en-US"/>
        </w:rPr>
        <w:t xml:space="preserve"> The latter w</w:t>
      </w:r>
      <w:r w:rsidR="00076717">
        <w:rPr>
          <w:lang w:val="en-US"/>
        </w:rPr>
        <w:t>ork</w:t>
      </w:r>
      <w:r w:rsidR="00DE6B94">
        <w:rPr>
          <w:lang w:val="en-US"/>
        </w:rPr>
        <w:t xml:space="preserve"> through the </w:t>
      </w:r>
      <w:r w:rsidR="002C1B21" w:rsidRPr="009960CD">
        <w:rPr>
          <w:lang w:val="en-US"/>
        </w:rPr>
        <w:t>Rybsczinski</w:t>
      </w:r>
      <w:r w:rsidR="00552DDE" w:rsidRPr="009960CD">
        <w:rPr>
          <w:lang w:val="en-US"/>
        </w:rPr>
        <w:t xml:space="preserve"> </w:t>
      </w:r>
      <w:r w:rsidR="00552DDE">
        <w:rPr>
          <w:lang w:val="en-US"/>
        </w:rPr>
        <w:t>mechanism</w:t>
      </w:r>
      <w:r w:rsidR="00552DDE" w:rsidRPr="009960CD">
        <w:rPr>
          <w:lang w:val="en-US"/>
        </w:rPr>
        <w:t xml:space="preserve"> on </w:t>
      </w:r>
      <w:r w:rsidR="00076717">
        <w:rPr>
          <w:lang w:val="en-US"/>
        </w:rPr>
        <w:t xml:space="preserve">re-configuration of sectoral </w:t>
      </w:r>
      <w:r w:rsidR="00552DDE">
        <w:rPr>
          <w:lang w:val="en-US"/>
        </w:rPr>
        <w:t>output</w:t>
      </w:r>
      <w:r w:rsidR="00DE6B94">
        <w:rPr>
          <w:lang w:val="en-US"/>
        </w:rPr>
        <w:t>s</w:t>
      </w:r>
      <w:r w:rsidR="002C1B21">
        <w:rPr>
          <w:lang w:val="en-US"/>
        </w:rPr>
        <w:t xml:space="preserve">, </w:t>
      </w:r>
      <w:r w:rsidR="00076717">
        <w:rPr>
          <w:lang w:val="en-US"/>
        </w:rPr>
        <w:t xml:space="preserve">and thus, the </w:t>
      </w:r>
      <w:r w:rsidR="00DE6B94">
        <w:rPr>
          <w:lang w:val="en-US"/>
        </w:rPr>
        <w:t xml:space="preserve"> </w:t>
      </w:r>
      <w:r w:rsidR="00552DDE" w:rsidRPr="009960CD">
        <w:rPr>
          <w:lang w:val="en-US"/>
        </w:rPr>
        <w:t xml:space="preserve"> volume of international trade.</w:t>
      </w:r>
      <w:r w:rsidR="00B6067D">
        <w:rPr>
          <w:lang w:val="en-US"/>
        </w:rPr>
        <w:t xml:space="preserve"> </w:t>
      </w:r>
    </w:p>
    <w:p w14:paraId="73EB17DE" w14:textId="77777777" w:rsidR="00D34DD0" w:rsidRPr="009960CD" w:rsidRDefault="00D34DD0" w:rsidP="0095261B">
      <w:pPr>
        <w:pStyle w:val="10"/>
        <w:rPr>
          <w:lang w:val="en-US"/>
        </w:rPr>
      </w:pPr>
    </w:p>
    <w:p w14:paraId="7AA66355" w14:textId="4B23B595" w:rsidR="000B35B7" w:rsidRPr="000B35B7" w:rsidRDefault="0044467B" w:rsidP="00A23EE2">
      <w:pPr>
        <w:pStyle w:val="10"/>
        <w:rPr>
          <w:b/>
          <w:bCs/>
          <w:lang w:val="en-US"/>
        </w:rPr>
      </w:pPr>
      <w:r>
        <w:rPr>
          <w:b/>
          <w:bCs/>
          <w:lang w:val="en-US"/>
        </w:rPr>
        <w:t>2</w:t>
      </w:r>
      <w:r w:rsidR="000B35B7" w:rsidRPr="000B35B7">
        <w:rPr>
          <w:b/>
          <w:bCs/>
          <w:lang w:val="en-US"/>
        </w:rPr>
        <w:t>. International Tax Competition</w:t>
      </w:r>
    </w:p>
    <w:p w14:paraId="3C5BBB96" w14:textId="1B0045C4" w:rsidR="000B35B7" w:rsidRDefault="000B35B7" w:rsidP="001451EE">
      <w:pPr>
        <w:pStyle w:val="10"/>
      </w:pPr>
      <w:r w:rsidRPr="00970FB1">
        <w:t>Financial globalization triggers tax competition among countries, and the possibility of a “race to the bottom”.</w:t>
      </w:r>
      <w:r w:rsidR="00E42613">
        <w:rPr>
          <w:rStyle w:val="Appelnotedebasdep"/>
        </w:rPr>
        <w:footnoteReference w:id="4"/>
      </w:r>
      <w:r w:rsidRPr="00970FB1">
        <w:t xml:space="preserve"> As a result, the tax burden may shift from the highly mobile factors (e.g. capital and top-skilled labor) to the weakly mobile factors (e.g. low-skill labor). This shift has first-order implications for both the functional and the size distribution of income. A country that imposes high tax rates may push mobile factors (especially capital) abroad where the country cannot effectively tax them, eroding its own tax base and lowering domestic economic activity at the same time. It    may   significantly affect corporate financing and location decisions of both US</w:t>
      </w:r>
      <w:r>
        <w:t>,</w:t>
      </w:r>
      <w:r w:rsidRPr="00970FB1">
        <w:t xml:space="preserve"> and European</w:t>
      </w:r>
      <w:r>
        <w:t>,</w:t>
      </w:r>
      <w:r w:rsidRPr="00970FB1">
        <w:t xml:space="preserve"> multinational groups. In consequence, the enhanced competitive pressure could result in an erosion of foreign countries’ tax bases and an associated loss in tax revenue </w:t>
      </w:r>
      <w:r w:rsidRPr="00970FB1">
        <w:lastRenderedPageBreak/>
        <w:t xml:space="preserve">triggering a new wave of international tax competition. </w:t>
      </w:r>
      <w:r w:rsidRPr="00970FB1">
        <w:rPr>
          <w:rStyle w:val="Appelnotedebasdep"/>
        </w:rPr>
        <w:footnoteReference w:id="5"/>
      </w:r>
      <w:r>
        <w:t xml:space="preserve"> </w:t>
      </w:r>
      <w:r w:rsidR="001451EE">
        <w:t xml:space="preserve">Figure 1 gives evidence for the intensity of corporate tax competition following the launch of the European Union. </w:t>
      </w:r>
    </w:p>
    <w:p w14:paraId="26384D99" w14:textId="54E89984" w:rsidR="000B35B7" w:rsidRPr="00970FB1" w:rsidRDefault="000B35B7" w:rsidP="000B35B7">
      <w:pPr>
        <w:pStyle w:val="10"/>
        <w:rPr>
          <w:rFonts w:ascii="dcr10" w:hAnsi="dcr10" w:cs="dcr10"/>
          <w:rtl/>
        </w:rPr>
      </w:pPr>
      <w:r w:rsidRPr="00970FB1">
        <w:rPr>
          <w:noProof/>
          <w:lang w:val="fr-FR" w:eastAsia="fr-FR"/>
        </w:rPr>
        <w:drawing>
          <wp:anchor distT="0" distB="0" distL="114300" distR="114300" simplePos="0" relativeHeight="251659264" behindDoc="0" locked="0" layoutInCell="0" allowOverlap="1" wp14:anchorId="4C3878D8" wp14:editId="2D80CF2F">
            <wp:simplePos x="0" y="0"/>
            <wp:positionH relativeFrom="column">
              <wp:posOffset>-869950</wp:posOffset>
            </wp:positionH>
            <wp:positionV relativeFrom="paragraph">
              <wp:posOffset>1301750</wp:posOffset>
            </wp:positionV>
            <wp:extent cx="8450580" cy="5486400"/>
            <wp:effectExtent l="0" t="0" r="0" b="0"/>
            <wp:wrapTopAndBottom/>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970FB1">
        <w:rPr>
          <w:rFonts w:ascii="Arial" w:hAnsi="Arial" w:cs="Arial"/>
          <w:color w:val="000000"/>
        </w:rPr>
        <w:t xml:space="preserve">Figure </w:t>
      </w:r>
      <w:r>
        <w:rPr>
          <w:rFonts w:ascii="Arial" w:hAnsi="Arial" w:cs="Arial"/>
          <w:color w:val="000000"/>
        </w:rPr>
        <w:t>1</w:t>
      </w:r>
      <w:r w:rsidRPr="00970FB1">
        <w:rPr>
          <w:rFonts w:ascii="Arial" w:hAnsi="Arial" w:cs="Arial"/>
          <w:color w:val="000000"/>
        </w:rPr>
        <w:t xml:space="preserve">: </w:t>
      </w:r>
      <w:r w:rsidRPr="00970FB1">
        <w:t>Hall-Jorgenson</w:t>
      </w:r>
      <w:r w:rsidRPr="00970FB1">
        <w:rPr>
          <w:rFonts w:ascii="Arial" w:hAnsi="Arial" w:cs="Arial"/>
          <w:color w:val="000000"/>
        </w:rPr>
        <w:t xml:space="preserve"> Effective Tax Rates on Corporate Income: Selected EU Countries</w:t>
      </w:r>
    </w:p>
    <w:p w14:paraId="5905B3D5" w14:textId="77777777" w:rsidR="000B35B7" w:rsidRPr="00970FB1" w:rsidRDefault="000B35B7" w:rsidP="000B35B7">
      <w:pPr>
        <w:pStyle w:val="10"/>
        <w:rPr>
          <w:rFonts w:ascii="dcr10" w:hAnsi="dcr10" w:cs="dcr10"/>
          <w:lang w:val="en-GB"/>
        </w:rPr>
      </w:pPr>
    </w:p>
    <w:p w14:paraId="4AD0D6A2" w14:textId="77777777" w:rsidR="000B35B7" w:rsidRPr="00970FB1" w:rsidRDefault="000B35B7" w:rsidP="000B35B7">
      <w:pPr>
        <w:pStyle w:val="10"/>
        <w:rPr>
          <w:lang w:val="en-GB" w:eastAsia="en-GB"/>
        </w:rPr>
      </w:pPr>
      <w:r w:rsidRPr="00970FB1">
        <w:rPr>
          <w:u w:val="single"/>
          <w:lang w:val="en-GB" w:eastAsia="en-GB"/>
        </w:rPr>
        <w:t>Notes:</w:t>
      </w:r>
      <w:r w:rsidRPr="00970FB1">
        <w:rPr>
          <w:lang w:val="en-GB" w:eastAsia="en-GB"/>
        </w:rPr>
        <w:t xml:space="preserve"> </w:t>
      </w:r>
    </w:p>
    <w:p w14:paraId="48C6E00A" w14:textId="77777777" w:rsidR="000B35B7" w:rsidRPr="00970FB1" w:rsidRDefault="000B35B7" w:rsidP="000B35B7">
      <w:pPr>
        <w:pStyle w:val="10"/>
      </w:pPr>
    </w:p>
    <w:p w14:paraId="108DBBA6" w14:textId="77777777" w:rsidR="000B35B7" w:rsidRPr="00970FB1" w:rsidRDefault="000B35B7" w:rsidP="000B35B7">
      <w:pPr>
        <w:pStyle w:val="10"/>
        <w:rPr>
          <w:rFonts w:ascii="dcr10" w:hAnsi="dcr10" w:cs="dcr10"/>
          <w:lang w:val="en-GB"/>
        </w:rPr>
      </w:pPr>
    </w:p>
    <w:p w14:paraId="20DF6DC5" w14:textId="77777777" w:rsidR="000B35B7" w:rsidRDefault="000B35B7" w:rsidP="000B35B7">
      <w:pPr>
        <w:pStyle w:val="10"/>
        <w:rPr>
          <w:lang w:val="en-GB" w:eastAsia="en-GB"/>
        </w:rPr>
      </w:pPr>
      <w:r w:rsidRPr="00970FB1">
        <w:rPr>
          <w:u w:val="single"/>
          <w:lang w:val="en-GB" w:eastAsia="en-GB"/>
        </w:rPr>
        <w:t>Notes:</w:t>
      </w:r>
      <w:r w:rsidRPr="00970FB1">
        <w:rPr>
          <w:lang w:val="en-GB" w:eastAsia="en-GB"/>
        </w:rPr>
        <w:t xml:space="preserve"> Hall and Jorgenson (1967</w:t>
      </w:r>
      <w:r>
        <w:rPr>
          <w:lang w:val="en-GB" w:eastAsia="en-GB"/>
        </w:rPr>
        <w:t>).</w:t>
      </w:r>
    </w:p>
    <w:p w14:paraId="334A80B5" w14:textId="698E8AFD" w:rsidR="000B35B7" w:rsidRDefault="000B35B7" w:rsidP="000B35B7">
      <w:pPr>
        <w:pStyle w:val="10"/>
        <w:rPr>
          <w:rFonts w:ascii="dcr10" w:hAnsi="dcr10" w:cs="dcr10"/>
        </w:rPr>
      </w:pPr>
      <w:r w:rsidRPr="00970FB1">
        <w:rPr>
          <w:lang w:val="en-GB" w:eastAsia="en-GB"/>
        </w:rPr>
        <w:t xml:space="preserve">Assumptions: Equity finance,   r = 4 %, inflation rate </w:t>
      </w:r>
      <w:r w:rsidRPr="00970FB1">
        <w:sym w:font="Symbol" w:char="F070"/>
      </w:r>
      <w:r w:rsidRPr="00970FB1">
        <w:rPr>
          <w:lang w:val="en-GB" w:eastAsia="en-GB"/>
        </w:rPr>
        <w:t xml:space="preserve"> = 4 %, </w:t>
      </w:r>
      <w:r w:rsidRPr="00970FB1">
        <w:sym w:font="Symbol" w:char="F064"/>
      </w:r>
      <w:r w:rsidRPr="00970FB1">
        <w:rPr>
          <w:lang w:val="en-GB" w:eastAsia="en-GB"/>
        </w:rPr>
        <w:t xml:space="preserve"> = 20 %, </w:t>
      </w:r>
      <w:r w:rsidRPr="00970FB1">
        <w:rPr>
          <w:color w:val="000000"/>
          <w:lang w:val="en-GB" w:eastAsia="en-GB"/>
        </w:rPr>
        <w:t>Normal tax life = 10 years</w:t>
      </w:r>
      <w:r>
        <w:rPr>
          <w:color w:val="000000"/>
          <w:lang w:val="en-GB" w:eastAsia="en-GB"/>
        </w:rPr>
        <w:t>. C</w:t>
      </w:r>
      <w:r w:rsidRPr="00970FB1">
        <w:rPr>
          <w:color w:val="000000"/>
          <w:lang w:val="en-GB" w:eastAsia="en-GB"/>
        </w:rPr>
        <w:t>ountries (from top to bottom): Finland, Sweden, Germany</w:t>
      </w:r>
      <w:r w:rsidR="00FD01CD" w:rsidRPr="00970FB1">
        <w:rPr>
          <w:color w:val="000000"/>
          <w:lang w:val="en-GB" w:eastAsia="en-GB"/>
        </w:rPr>
        <w:t>,</w:t>
      </w:r>
      <w:r w:rsidR="00FD01CD">
        <w:rPr>
          <w:color w:val="000000"/>
          <w:lang w:val="en-GB" w:eastAsia="en-GB"/>
        </w:rPr>
        <w:t xml:space="preserve"> </w:t>
      </w:r>
      <w:r w:rsidR="00FD01CD" w:rsidRPr="00970FB1">
        <w:rPr>
          <w:color w:val="000000"/>
          <w:lang w:val="en-GB" w:eastAsia="en-GB"/>
        </w:rPr>
        <w:t>Austria</w:t>
      </w:r>
      <w:r w:rsidRPr="00970FB1">
        <w:rPr>
          <w:color w:val="000000"/>
          <w:lang w:val="en-GB" w:eastAsia="en-GB"/>
        </w:rPr>
        <w:t>, UK, Belgium Denmark, France, Italy, Luxemburg, Spain, Portugal, Netherlands, Ireland.</w:t>
      </w:r>
      <w:r w:rsidRPr="00970FB1">
        <w:rPr>
          <w:rStyle w:val="Appelnotedebasdep"/>
          <w:rFonts w:ascii="dcr10" w:hAnsi="dcr10" w:cs="dcr10"/>
        </w:rPr>
        <w:t xml:space="preserve"> </w:t>
      </w:r>
      <w:r w:rsidRPr="00970FB1">
        <w:rPr>
          <w:rStyle w:val="Appelnotedebasdep"/>
          <w:rFonts w:ascii="dcr10" w:hAnsi="dcr10" w:cs="dcr10"/>
        </w:rPr>
        <w:footnoteReference w:id="6"/>
      </w:r>
    </w:p>
    <w:p w14:paraId="404FDE19" w14:textId="6AAD8519" w:rsidR="0044467B" w:rsidRPr="009960CD" w:rsidRDefault="0044467B" w:rsidP="00076717">
      <w:pPr>
        <w:pStyle w:val="10"/>
        <w:rPr>
          <w:b/>
          <w:bCs/>
          <w:lang w:val="en-US"/>
        </w:rPr>
      </w:pPr>
      <w:r>
        <w:rPr>
          <w:b/>
          <w:bCs/>
          <w:lang w:val="en-US"/>
        </w:rPr>
        <w:t>3</w:t>
      </w:r>
      <w:r w:rsidRPr="009960CD">
        <w:rPr>
          <w:b/>
          <w:bCs/>
          <w:lang w:val="en-US"/>
        </w:rPr>
        <w:t xml:space="preserve">. </w:t>
      </w:r>
      <w:r>
        <w:rPr>
          <w:b/>
          <w:bCs/>
          <w:lang w:val="en-US"/>
        </w:rPr>
        <w:t xml:space="preserve">  </w:t>
      </w:r>
      <w:r w:rsidR="00076717">
        <w:rPr>
          <w:b/>
          <w:bCs/>
          <w:lang w:val="en-US"/>
        </w:rPr>
        <w:t xml:space="preserve">Frictions in </w:t>
      </w:r>
      <w:r>
        <w:rPr>
          <w:b/>
          <w:bCs/>
          <w:lang w:val="en-US"/>
        </w:rPr>
        <w:t>International</w:t>
      </w:r>
      <w:r w:rsidR="00076717">
        <w:rPr>
          <w:b/>
          <w:bCs/>
          <w:lang w:val="en-US"/>
        </w:rPr>
        <w:t>-</w:t>
      </w:r>
      <w:r w:rsidRPr="009960CD">
        <w:rPr>
          <w:b/>
          <w:bCs/>
          <w:lang w:val="en-US"/>
        </w:rPr>
        <w:t>Finan</w:t>
      </w:r>
      <w:r>
        <w:rPr>
          <w:b/>
          <w:bCs/>
          <w:lang w:val="en-US"/>
        </w:rPr>
        <w:t xml:space="preserve">ce </w:t>
      </w:r>
      <w:r w:rsidRPr="009960CD">
        <w:rPr>
          <w:b/>
          <w:bCs/>
          <w:lang w:val="en-US"/>
        </w:rPr>
        <w:t>Arbitrage</w:t>
      </w:r>
    </w:p>
    <w:p w14:paraId="53083C13" w14:textId="1F9841F8" w:rsidR="0044467B" w:rsidRPr="009960CD" w:rsidRDefault="0044467B" w:rsidP="00076717">
      <w:pPr>
        <w:pStyle w:val="10"/>
        <w:rPr>
          <w:u w:val="single"/>
          <w:lang w:val="en-US"/>
        </w:rPr>
      </w:pPr>
      <w:r w:rsidRPr="009960CD">
        <w:rPr>
          <w:lang w:val="en-US"/>
        </w:rPr>
        <w:t xml:space="preserve">We capture the degree of financial globalization by the ease with which capital flows from one country to another. We assume a pure source-based income taxation. This means that the country </w:t>
      </w:r>
      <w:r w:rsidRPr="009960CD">
        <w:rPr>
          <w:lang w:val="en-US"/>
        </w:rPr>
        <w:lastRenderedPageBreak/>
        <w:t>does not impose taxes on foreign-source income of its residents, but taxes foreigners on their income originating within the country.</w:t>
      </w:r>
      <w:r w:rsidRPr="009960CD">
        <w:rPr>
          <w:rStyle w:val="Appelnotedebasdep"/>
          <w:lang w:val="en-US"/>
        </w:rPr>
        <w:t xml:space="preserve"> </w:t>
      </w:r>
      <w:r w:rsidRPr="009960CD">
        <w:rPr>
          <w:rStyle w:val="Appelnotedebasdep"/>
          <w:lang w:val="en-US"/>
        </w:rPr>
        <w:footnoteReference w:id="7"/>
      </w:r>
      <w:r w:rsidRPr="009960CD">
        <w:rPr>
          <w:lang w:val="en-US"/>
        </w:rPr>
        <w:t xml:space="preserve"> </w:t>
      </w:r>
    </w:p>
    <w:p w14:paraId="7DF57A51" w14:textId="77777777" w:rsidR="0044467B" w:rsidRPr="009960CD" w:rsidRDefault="0044467B" w:rsidP="0044467B">
      <w:pPr>
        <w:pStyle w:val="10"/>
        <w:rPr>
          <w:lang w:val="en-US"/>
        </w:rPr>
      </w:pPr>
      <w:r w:rsidRPr="009960CD">
        <w:rPr>
          <w:lang w:val="en-US"/>
        </w:rPr>
        <w:t xml:space="preserve">Capital income of residents and foreigners (from domestic sources only) is taxed at a flat rate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m:t>
        </m:r>
      </m:oMath>
      <w:r w:rsidRPr="009960CD">
        <w:rPr>
          <w:lang w:val="en-US"/>
        </w:rPr>
        <w:t xml:space="preserve"> Therefore; the net return on investing into domestic capital is </w:t>
      </w:r>
      <m:oMath>
        <m:r>
          <w:rPr>
            <w:rFonts w:ascii="Cambria Math" w:hAnsi="Cambria Math"/>
            <w:lang w:val="en-US"/>
          </w:rPr>
          <m:t>1+r</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oMath>
      <w:r w:rsidRPr="009960CD">
        <w:rPr>
          <w:lang w:val="en-US"/>
        </w:rPr>
        <w:t xml:space="preserve"> for investors, where r is the domestic interest rate.</w:t>
      </w:r>
    </w:p>
    <w:p w14:paraId="4D627853" w14:textId="75FC50EA" w:rsidR="0044467B" w:rsidRPr="009960CD" w:rsidRDefault="00E42613" w:rsidP="00E42613">
      <w:pPr>
        <w:pStyle w:val="10"/>
        <w:rPr>
          <w:lang w:val="en-US"/>
        </w:rPr>
      </w:pPr>
      <w:r>
        <w:rPr>
          <w:lang w:val="en-US"/>
        </w:rPr>
        <w:t>Assume that c</w:t>
      </w:r>
      <w:r w:rsidR="0044467B" w:rsidRPr="009960CD">
        <w:rPr>
          <w:lang w:val="en-US"/>
        </w:rPr>
        <w:t xml:space="preserve">apital does flow internationally, but at some cost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r>
          <w:rPr>
            <w:rFonts w:ascii="Cambria Math" w:hAnsi="Cambria Math"/>
            <w:lang w:val="en-US"/>
          </w:rPr>
          <m:t>&gt;0</m:t>
        </m:r>
      </m:oMath>
      <w:r w:rsidR="0044467B" w:rsidRPr="009960CD">
        <w:rPr>
          <w:lang w:val="en-US"/>
        </w:rPr>
        <w:t xml:space="preserve"> per unit.</w:t>
      </w:r>
      <w:r w:rsidR="0044467B" w:rsidRPr="009960CD">
        <w:rPr>
          <w:rStyle w:val="Appelnotedebasdep"/>
          <w:lang w:val="en-US"/>
        </w:rPr>
        <w:footnoteReference w:id="8"/>
      </w:r>
      <w:r w:rsidR="0044467B" w:rsidRPr="009960CD">
        <w:rPr>
          <w:lang w:val="en-US"/>
        </w:rPr>
        <w:t xml:space="preserve"> A domestic individual who invests abroad can thus gain only </w:t>
      </w:r>
      <m:oMath>
        <m:r>
          <w:rPr>
            <w:rFonts w:ascii="Cambria Math" w:hAnsi="Cambria Math"/>
            <w:lang w:val="en-US"/>
          </w:rPr>
          <m:t>1+</m:t>
        </m:r>
        <m:d>
          <m:dPr>
            <m:ctrlPr>
              <w:rPr>
                <w:rFonts w:ascii="Cambria Math" w:hAnsi="Cambria Math"/>
                <w:i/>
                <w:lang w:val="en-US"/>
              </w:rPr>
            </m:ctrlPr>
          </m:dPr>
          <m:e>
            <m:r>
              <w:rPr>
                <w:rFonts w:ascii="Cambria Math" w:hAnsi="Cambria Math"/>
                <w:lang w:val="en-US"/>
              </w:rPr>
              <m:t>1-</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e>
        </m:d>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44467B" w:rsidRPr="009960CD">
        <w:rPr>
          <w:lang w:val="en-US"/>
        </w:rPr>
        <w:t xml:space="preserve"> , where </w:t>
      </w:r>
      <m:oMath>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oMath>
      <w:r w:rsidR="0044467B" w:rsidRPr="009960CD">
        <w:rPr>
          <w:lang w:val="en-US"/>
        </w:rPr>
        <w:t xml:space="preserve">  is the world interest rate and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sidR="0044467B" w:rsidRPr="009960CD">
        <w:rPr>
          <w:lang w:val="en-US"/>
        </w:rPr>
        <w:t xml:space="preserve">   is the tax rate, levied abroad under a source-based taxation. In a small, open economy context, the two (exogenous) variables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sidR="0044467B" w:rsidRPr="009960CD">
        <w:rPr>
          <w:lang w:val="en-US"/>
        </w:rPr>
        <w:t xml:space="preserve"> and </w:t>
      </w:r>
      <m:oMath>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oMath>
      <w:r w:rsidR="0044467B" w:rsidRPr="009960CD">
        <w:rPr>
          <w:lang w:val="en-US"/>
        </w:rPr>
        <w:t xml:space="preserve"> play an equivalent role, where the only relevant variable is</w:t>
      </w:r>
      <m:oMath>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r>
          <w:rPr>
            <w:rFonts w:ascii="Cambria Math" w:hAnsi="Cambria Math"/>
            <w:lang w:val="en-US"/>
          </w:rPr>
          <m:t>=</m:t>
        </m:r>
        <m:d>
          <m:dPr>
            <m:ctrlPr>
              <w:rPr>
                <w:rFonts w:ascii="Cambria Math" w:hAnsi="Cambria Math"/>
                <w:i/>
                <w:lang w:val="en-US"/>
              </w:rPr>
            </m:ctrlPr>
          </m:dPr>
          <m:e>
            <m:r>
              <w:rPr>
                <w:rFonts w:ascii="Cambria Math" w:hAnsi="Cambria Math"/>
                <w:lang w:val="en-US"/>
              </w:rPr>
              <m:t>1-</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e>
        </m:d>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oMath>
      <w:r w:rsidR="0044467B" w:rsidRPr="009960CD">
        <w:rPr>
          <w:lang w:val="en-US"/>
        </w:rPr>
        <w:t>, which is the net of tax international interest rate.</w:t>
      </w:r>
    </w:p>
    <w:p w14:paraId="55AEEE94" w14:textId="77777777" w:rsidR="0044467B" w:rsidRPr="009960CD" w:rsidRDefault="0044467B" w:rsidP="0044467B">
      <w:pPr>
        <w:pStyle w:val="10"/>
        <w:rPr>
          <w:lang w:val="en-US"/>
        </w:rPr>
      </w:pPr>
      <w:r w:rsidRPr="009960CD">
        <w:rPr>
          <w:lang w:val="en-US"/>
        </w:rPr>
        <w:lastRenderedPageBreak/>
        <w:t>We assume that the cost of capital flows applies symmetrically to foreign investors, i.e. their return on investment in the domestic country is given by</w:t>
      </w:r>
      <m:oMath>
        <m:r>
          <w:rPr>
            <w:rFonts w:ascii="Cambria Math" w:hAnsi="Cambria Math"/>
            <w:lang w:val="en-US"/>
          </w:rPr>
          <m:t>1+</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Pr="009960CD">
        <w:rPr>
          <w:lang w:val="en-US"/>
        </w:rPr>
        <w:t xml:space="preserve">, where investing abroad yields a return </w:t>
      </w:r>
      <m:oMath>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r>
          <w:rPr>
            <w:rFonts w:ascii="Cambria Math" w:hAnsi="Cambria Math"/>
            <w:lang w:val="en-US"/>
          </w:rPr>
          <m:t>.</m:t>
        </m:r>
      </m:oMath>
    </w:p>
    <w:p w14:paraId="33038938" w14:textId="77777777" w:rsidR="0044467B" w:rsidRPr="009960CD" w:rsidRDefault="0044467B" w:rsidP="0044467B">
      <w:pPr>
        <w:pStyle w:val="10"/>
        <w:rPr>
          <w:lang w:val="en-US"/>
        </w:rPr>
      </w:pPr>
      <w:r w:rsidRPr="009960CD">
        <w:rPr>
          <w:lang w:val="en-US"/>
        </w:rPr>
        <w:t>The small open economy exports capital in case:</w:t>
      </w:r>
    </w:p>
    <w:p w14:paraId="29B400F0" w14:textId="77777777" w:rsidR="0044467B" w:rsidRPr="009960CD" w:rsidRDefault="0067442C" w:rsidP="0044467B">
      <w:pPr>
        <w:pStyle w:val="10"/>
        <w:numPr>
          <w:ilvl w:val="0"/>
          <w:numId w:val="1"/>
        </w:numPr>
        <w:rPr>
          <w:lang w:val="en-US"/>
        </w:rPr>
      </w:pPr>
      <m:oMath>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 xml:space="preserve">r=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44467B" w:rsidRPr="009960CD">
        <w:rPr>
          <w:lang w:val="en-US"/>
        </w:rPr>
        <w:t xml:space="preserve">, </w:t>
      </w:r>
    </w:p>
    <w:p w14:paraId="7994B79F" w14:textId="77777777" w:rsidR="0044467B" w:rsidRPr="009960CD" w:rsidRDefault="0044467B" w:rsidP="0044467B">
      <w:pPr>
        <w:pStyle w:val="10"/>
        <w:rPr>
          <w:lang w:val="en-US"/>
        </w:rPr>
      </w:pPr>
      <w:r w:rsidRPr="009960CD">
        <w:rPr>
          <w:lang w:val="en-US"/>
        </w:rPr>
        <w:t>which means that</w:t>
      </w:r>
      <m:oMath>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r>
          <w:rPr>
            <w:rFonts w:ascii="Cambria Math" w:hAnsi="Cambria Math"/>
            <w:lang w:val="en-US"/>
          </w:rPr>
          <m:t xml:space="preserve">&lt;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oMath>
      <w:r w:rsidRPr="009960CD">
        <w:rPr>
          <w:lang w:val="en-US"/>
        </w:rPr>
        <w:t>, and therefore foreigners do not invest in the domestic economy.</w:t>
      </w:r>
    </w:p>
    <w:p w14:paraId="5955570E" w14:textId="77777777" w:rsidR="0044467B" w:rsidRPr="009960CD" w:rsidRDefault="0044467B" w:rsidP="0044467B">
      <w:pPr>
        <w:pStyle w:val="10"/>
        <w:rPr>
          <w:lang w:val="en-US"/>
        </w:rPr>
      </w:pPr>
      <w:r w:rsidRPr="009960CD">
        <w:rPr>
          <w:lang w:val="en-US"/>
        </w:rPr>
        <w:t>Similarly, the small open economy imports capital in case:</w:t>
      </w:r>
    </w:p>
    <w:p w14:paraId="39F99D83" w14:textId="77777777" w:rsidR="0044467B" w:rsidRPr="009960CD" w:rsidRDefault="0044467B" w:rsidP="0044467B">
      <w:pPr>
        <w:pStyle w:val="10"/>
        <w:numPr>
          <w:ilvl w:val="0"/>
          <w:numId w:val="1"/>
        </w:numPr>
        <w:rPr>
          <w:lang w:val="en-US"/>
        </w:rPr>
      </w:pPr>
      <w:r w:rsidRPr="009960CD">
        <w:rPr>
          <w:lang w:val="en-US"/>
        </w:rPr>
        <w:t xml:space="preserve"> </w:t>
      </w:r>
      <m:oMath>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oMath>
      <w:r w:rsidRPr="009960CD">
        <w:rPr>
          <w:lang w:val="en-US"/>
        </w:rPr>
        <w:t>,</w:t>
      </w:r>
    </w:p>
    <w:p w14:paraId="381C73DF" w14:textId="77777777" w:rsidR="0044467B" w:rsidRPr="009960CD" w:rsidRDefault="0044467B" w:rsidP="0044467B">
      <w:pPr>
        <w:pStyle w:val="10"/>
        <w:rPr>
          <w:lang w:val="en-US"/>
        </w:rPr>
      </w:pPr>
    </w:p>
    <w:p w14:paraId="3695FE37" w14:textId="77777777" w:rsidR="0044467B" w:rsidRPr="009960CD" w:rsidRDefault="0044467B" w:rsidP="0044467B">
      <w:pPr>
        <w:pStyle w:val="10"/>
        <w:rPr>
          <w:lang w:val="en-US"/>
        </w:rPr>
      </w:pPr>
      <w:r w:rsidRPr="009960CD">
        <w:rPr>
          <w:lang w:val="en-US"/>
        </w:rPr>
        <w:t xml:space="preserve">which means that   </w:t>
      </w:r>
      <m:oMath>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 xml:space="preserve">r&gt;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Pr="009960CD">
        <w:rPr>
          <w:lang w:val="en-US"/>
        </w:rPr>
        <w:t>, and therefore the residents of the small open economy do not wish to invest abroad.</w:t>
      </w:r>
    </w:p>
    <w:p w14:paraId="1504E2A6" w14:textId="24495086" w:rsidR="00443B20" w:rsidRPr="009960CD" w:rsidRDefault="0044467B" w:rsidP="003E6471">
      <w:pPr>
        <w:pStyle w:val="10"/>
        <w:rPr>
          <w:lang w:val="en-US"/>
        </w:rPr>
      </w:pPr>
      <w:r w:rsidRPr="009960CD">
        <w:rPr>
          <w:lang w:val="en-US"/>
        </w:rPr>
        <w:t xml:space="preserve">Remarkably, the foreign tax parameter,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sidRPr="009960CD">
        <w:rPr>
          <w:lang w:val="en-US"/>
        </w:rPr>
        <w:t xml:space="preserve">, with which the domestic tax rate,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oMath>
      <w:r w:rsidRPr="009960CD">
        <w:rPr>
          <w:lang w:val="en-US"/>
        </w:rPr>
        <w:t xml:space="preserve">, competes, and the financial globalization parameter,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Pr="009960CD">
        <w:rPr>
          <w:lang w:val="en-US"/>
        </w:rPr>
        <w:t xml:space="preserve">, have similar effects on the small open economy when it exports capital; but the opposite effects when it imports capital. Specifically, when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sidRPr="009960CD">
        <w:rPr>
          <w:lang w:val="en-US"/>
        </w:rPr>
        <w:t xml:space="preserve"> and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Pr="009960CD">
        <w:rPr>
          <w:lang w:val="en-US"/>
        </w:rPr>
        <w:t xml:space="preserve"> fall, then capital export is boosted in the capital-export case. This is because the net return abroad to domestic savers rises. </w:t>
      </w:r>
      <w:r>
        <w:rPr>
          <w:lang w:val="en-US"/>
        </w:rPr>
        <w:t xml:space="preserve">Therefore simulating the tax competition effect on the welfare state economy of reduced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Pr>
          <w:lang w:val="en-US"/>
        </w:rPr>
        <w:t xml:space="preserve">  is equivalent to the effect of a reduced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both  indicate that  the globalization forces  intensify.  </w:t>
      </w:r>
      <w:r w:rsidRPr="009960CD">
        <w:rPr>
          <w:lang w:val="en-US"/>
        </w:rPr>
        <w:t xml:space="preserve">However, in the capital import case, a fall in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sidRPr="009960CD">
        <w:rPr>
          <w:lang w:val="en-US"/>
        </w:rPr>
        <w:t xml:space="preserve"> the net return abroad to foreign savers increases, and therefore capital imports by the domestic economy </w:t>
      </w:r>
      <w:r w:rsidRPr="009960CD">
        <w:rPr>
          <w:lang w:val="en-US"/>
        </w:rPr>
        <w:lastRenderedPageBreak/>
        <w:t xml:space="preserve">diminishes. A fall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Pr="009960CD">
        <w:rPr>
          <w:lang w:val="en-US"/>
        </w:rPr>
        <w:t xml:space="preserve"> however raises the net return for foreign investors in the domestic economy, which boosts capital, imports.</w:t>
      </w:r>
      <w:r>
        <w:rPr>
          <w:lang w:val="en-US"/>
        </w:rPr>
        <w:t xml:space="preserve"> Therefore simulating the tax competition effect on the welfare state economy of reduced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Pr>
          <w:lang w:val="en-US"/>
        </w:rPr>
        <w:t xml:space="preserve">  has the opposite effect of a reduced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w:t>
      </w:r>
    </w:p>
    <w:p w14:paraId="36CBC758" w14:textId="77777777" w:rsidR="005F4405" w:rsidRPr="009960CD" w:rsidRDefault="005F4405" w:rsidP="005F4405">
      <w:pPr>
        <w:pStyle w:val="10"/>
        <w:rPr>
          <w:lang w:val="en-US"/>
        </w:rPr>
      </w:pPr>
    </w:p>
    <w:p w14:paraId="0C8EEA12" w14:textId="2BA2E0EC" w:rsidR="0095261B" w:rsidRPr="009960CD" w:rsidRDefault="001451EE" w:rsidP="003E6471">
      <w:pPr>
        <w:pStyle w:val="10"/>
        <w:rPr>
          <w:b/>
          <w:bCs/>
          <w:lang w:val="en-US"/>
        </w:rPr>
      </w:pPr>
      <w:r>
        <w:rPr>
          <w:b/>
          <w:bCs/>
          <w:lang w:val="en-US"/>
        </w:rPr>
        <w:t>4</w:t>
      </w:r>
      <w:r w:rsidR="0095261B" w:rsidRPr="009960CD">
        <w:rPr>
          <w:b/>
          <w:bCs/>
          <w:lang w:val="en-US"/>
        </w:rPr>
        <w:t xml:space="preserve">.  </w:t>
      </w:r>
      <w:r w:rsidR="001F7AB5">
        <w:rPr>
          <w:b/>
          <w:bCs/>
          <w:lang w:val="en-US"/>
        </w:rPr>
        <w:t xml:space="preserve">A Parsimonious </w:t>
      </w:r>
      <w:r w:rsidR="001F7AB5" w:rsidRPr="009960CD">
        <w:rPr>
          <w:b/>
          <w:bCs/>
          <w:lang w:val="en-US"/>
        </w:rPr>
        <w:t>Model</w:t>
      </w:r>
    </w:p>
    <w:p w14:paraId="386D695D" w14:textId="281C7228" w:rsidR="00791F53" w:rsidRPr="009960CD" w:rsidRDefault="00552DDE" w:rsidP="00105583">
      <w:pPr>
        <w:pStyle w:val="10"/>
        <w:rPr>
          <w:lang w:val="en-US"/>
        </w:rPr>
      </w:pPr>
      <w:r>
        <w:rPr>
          <w:lang w:val="en-US"/>
        </w:rPr>
        <w:t>The</w:t>
      </w:r>
      <w:r w:rsidR="00791F53" w:rsidRPr="009960CD">
        <w:rPr>
          <w:lang w:val="en-US"/>
        </w:rPr>
        <w:t xml:space="preserve"> </w:t>
      </w:r>
      <w:r w:rsidR="003A1760" w:rsidRPr="009960CD">
        <w:rPr>
          <w:lang w:val="en-US"/>
        </w:rPr>
        <w:t>paper</w:t>
      </w:r>
      <w:r>
        <w:rPr>
          <w:lang w:val="en-US"/>
        </w:rPr>
        <w:t>’s</w:t>
      </w:r>
      <w:r w:rsidR="003A1760" w:rsidRPr="009960CD">
        <w:rPr>
          <w:lang w:val="en-US"/>
        </w:rPr>
        <w:t xml:space="preserve"> </w:t>
      </w:r>
      <w:r>
        <w:rPr>
          <w:lang w:val="en-US"/>
        </w:rPr>
        <w:t xml:space="preserve">focus </w:t>
      </w:r>
      <w:r w:rsidR="003A1760" w:rsidRPr="009960CD">
        <w:rPr>
          <w:lang w:val="en-US"/>
        </w:rPr>
        <w:t>is</w:t>
      </w:r>
      <w:r w:rsidR="00791F53" w:rsidRPr="009960CD">
        <w:rPr>
          <w:lang w:val="en-US"/>
        </w:rPr>
        <w:t xml:space="preserve"> twofold: (i) the effects of globalization on the volumes </w:t>
      </w:r>
      <w:r w:rsidR="003A1760" w:rsidRPr="009960CD">
        <w:rPr>
          <w:lang w:val="en-US"/>
        </w:rPr>
        <w:t>of capital</w:t>
      </w:r>
      <w:r w:rsidR="00791F53" w:rsidRPr="009960CD">
        <w:rPr>
          <w:lang w:val="en-US"/>
        </w:rPr>
        <w:t xml:space="preserve"> flows, </w:t>
      </w:r>
      <w:r w:rsidR="00743CE2" w:rsidRPr="009960CD">
        <w:rPr>
          <w:lang w:val="en-US"/>
        </w:rPr>
        <w:t xml:space="preserve">the </w:t>
      </w:r>
      <w:r w:rsidR="00791F53" w:rsidRPr="009960CD">
        <w:rPr>
          <w:lang w:val="en-US"/>
        </w:rPr>
        <w:t xml:space="preserve">volume of trade, </w:t>
      </w:r>
      <w:r>
        <w:rPr>
          <w:lang w:val="en-US"/>
        </w:rPr>
        <w:t>the e</w:t>
      </w:r>
      <w:r w:rsidR="00743CE2" w:rsidRPr="009960CD">
        <w:rPr>
          <w:lang w:val="en-US"/>
        </w:rPr>
        <w:t xml:space="preserve">migration of high-skill labor, </w:t>
      </w:r>
      <w:r w:rsidR="00791F53" w:rsidRPr="009960CD">
        <w:rPr>
          <w:lang w:val="en-US"/>
        </w:rPr>
        <w:t>and income distribution</w:t>
      </w:r>
      <w:r w:rsidR="00105583">
        <w:rPr>
          <w:lang w:val="en-US"/>
        </w:rPr>
        <w:t xml:space="preserve">. And, </w:t>
      </w:r>
      <w:r w:rsidR="00791F53" w:rsidRPr="009960CD">
        <w:rPr>
          <w:lang w:val="en-US"/>
        </w:rPr>
        <w:t xml:space="preserve"> (</w:t>
      </w:r>
      <w:r w:rsidR="006205C2" w:rsidRPr="009960CD">
        <w:rPr>
          <w:lang w:val="en-US"/>
        </w:rPr>
        <w:t>i</w:t>
      </w:r>
      <w:r w:rsidR="00791F53" w:rsidRPr="009960CD">
        <w:rPr>
          <w:lang w:val="en-US"/>
        </w:rPr>
        <w:t>i) the role of the welfare state, as shaped by majority voting, in enhancing the welfare of many</w:t>
      </w:r>
      <w:r w:rsidR="006205C2" w:rsidRPr="009960CD">
        <w:rPr>
          <w:lang w:val="en-US"/>
        </w:rPr>
        <w:t xml:space="preserve"> (rather than just a few)</w:t>
      </w:r>
      <w:r w:rsidR="00791F53" w:rsidRPr="009960CD">
        <w:rPr>
          <w:lang w:val="en-US"/>
        </w:rPr>
        <w:t xml:space="preserve"> income groups in the presence of globalization and tax </w:t>
      </w:r>
      <w:r w:rsidR="003A1760" w:rsidRPr="009960CD">
        <w:rPr>
          <w:lang w:val="en-US"/>
        </w:rPr>
        <w:t>competition forces</w:t>
      </w:r>
      <w:r w:rsidR="00791F53" w:rsidRPr="009960CD">
        <w:rPr>
          <w:lang w:val="en-US"/>
        </w:rPr>
        <w:t>.</w:t>
      </w:r>
    </w:p>
    <w:p w14:paraId="61B66E75" w14:textId="0F2FB059" w:rsidR="0095261B" w:rsidRPr="009960CD" w:rsidRDefault="0095261B" w:rsidP="00602DC0">
      <w:pPr>
        <w:pStyle w:val="10"/>
        <w:rPr>
          <w:lang w:val="en-US"/>
        </w:rPr>
      </w:pPr>
      <w:r w:rsidRPr="009960CD">
        <w:rPr>
          <w:lang w:val="en-US"/>
        </w:rPr>
        <w:t>To</w:t>
      </w:r>
      <w:r w:rsidRPr="009960CD">
        <w:rPr>
          <w:rFonts w:ascii="Arial" w:hAnsi="Arial" w:cs="Arial"/>
          <w:color w:val="000000"/>
          <w:lang w:val="en-US"/>
        </w:rPr>
        <w:t xml:space="preserve"> </w:t>
      </w:r>
      <w:r w:rsidRPr="009960CD">
        <w:rPr>
          <w:lang w:val="en-US"/>
        </w:rPr>
        <w:t>put trade and financial globalization, tax competition, high-skilled emigration, and the generosity of the welfare state</w:t>
      </w:r>
      <w:r w:rsidR="00602DC0" w:rsidRPr="009960CD">
        <w:rPr>
          <w:lang w:val="en-US"/>
        </w:rPr>
        <w:t xml:space="preserve">, </w:t>
      </w:r>
      <w:r w:rsidR="003A1760" w:rsidRPr="009960CD">
        <w:rPr>
          <w:lang w:val="en-US"/>
        </w:rPr>
        <w:t>all in</w:t>
      </w:r>
      <w:r w:rsidRPr="009960CD">
        <w:rPr>
          <w:lang w:val="en-US"/>
        </w:rPr>
        <w:t xml:space="preserve"> a coherent analytical framework, we develop here a political-economy model, where the welfare state parameters (taxes and social benefits) are determined through majority voting</w:t>
      </w:r>
      <w:r w:rsidRPr="009960CD">
        <w:rPr>
          <w:rStyle w:val="Appelnotedebasdep"/>
          <w:lang w:val="en-US"/>
        </w:rPr>
        <w:footnoteReference w:id="9"/>
      </w:r>
      <w:r w:rsidRPr="009960CD">
        <w:rPr>
          <w:lang w:val="en-US"/>
        </w:rPr>
        <w:t>. It is a stripped-down model consisting of the essential (minimal) features, which allow us to analyze the</w:t>
      </w:r>
      <w:r w:rsidR="00602DC0" w:rsidRPr="009960CD">
        <w:rPr>
          <w:lang w:val="en-US"/>
        </w:rPr>
        <w:t>se</w:t>
      </w:r>
      <w:r w:rsidR="008A6F0C" w:rsidRPr="009960CD">
        <w:rPr>
          <w:lang w:val="en-US"/>
        </w:rPr>
        <w:t xml:space="preserve"> </w:t>
      </w:r>
      <w:r w:rsidRPr="009960CD">
        <w:rPr>
          <w:lang w:val="en-US"/>
        </w:rPr>
        <w:t>issues.</w:t>
      </w:r>
    </w:p>
    <w:p w14:paraId="5161B1DF" w14:textId="6B2D76C7" w:rsidR="005C1594" w:rsidRPr="009960CD" w:rsidRDefault="003A1760" w:rsidP="001F7AB5">
      <w:pPr>
        <w:pStyle w:val="10"/>
        <w:rPr>
          <w:lang w:val="en-US" w:bidi="he-IL"/>
        </w:rPr>
      </w:pPr>
      <w:r w:rsidRPr="009960CD">
        <w:rPr>
          <w:lang w:val="en-US" w:bidi="he-IL"/>
        </w:rPr>
        <w:t>To enable</w:t>
      </w:r>
      <w:r w:rsidR="00602DC0" w:rsidRPr="009960CD">
        <w:rPr>
          <w:lang w:val="en-US" w:bidi="he-IL"/>
        </w:rPr>
        <w:t xml:space="preserve"> us to consider trade in goods we assume that there minimally </w:t>
      </w:r>
      <w:r w:rsidR="005C1594" w:rsidRPr="009960CD">
        <w:rPr>
          <w:lang w:val="en-US" w:bidi="he-IL"/>
        </w:rPr>
        <w:t xml:space="preserve">are two tradable goods (x and y). </w:t>
      </w:r>
      <w:r w:rsidR="00602DC0" w:rsidRPr="009960CD">
        <w:rPr>
          <w:lang w:val="en-US" w:bidi="he-IL"/>
        </w:rPr>
        <w:t>In the absence of uncertainty and differentiated products, each sector will either export or import its standard product, but not both at the same time.</w:t>
      </w:r>
      <w:r w:rsidR="008A6F0C" w:rsidRPr="009960CD">
        <w:rPr>
          <w:lang w:val="en-US" w:bidi="he-IL"/>
        </w:rPr>
        <w:t xml:space="preserve"> </w:t>
      </w:r>
      <w:r w:rsidR="005C1594" w:rsidRPr="009960CD">
        <w:rPr>
          <w:lang w:val="en-US" w:bidi="he-IL"/>
        </w:rPr>
        <w:t>World prices of x and y are exogenously given for our small open economy with good x serving as a numeraire, whose price is normalized to one</w:t>
      </w:r>
      <w:r w:rsidR="006205C2" w:rsidRPr="009960CD">
        <w:rPr>
          <w:lang w:val="en-US" w:bidi="he-IL"/>
        </w:rPr>
        <w:t>, and the world price of y is denoted by p*</w:t>
      </w:r>
      <w:r w:rsidR="005C1594" w:rsidRPr="009960CD">
        <w:rPr>
          <w:lang w:val="en-US" w:bidi="he-IL"/>
        </w:rPr>
        <w:t>.</w:t>
      </w:r>
    </w:p>
    <w:p w14:paraId="7D25AF64" w14:textId="77777777" w:rsidR="00664BE5" w:rsidRPr="009960CD" w:rsidRDefault="00664BE5" w:rsidP="00664BE5">
      <w:pPr>
        <w:pStyle w:val="10"/>
        <w:rPr>
          <w:lang w:val="en-US"/>
        </w:rPr>
      </w:pPr>
    </w:p>
    <w:p w14:paraId="1787611B" w14:textId="70DF9FBD" w:rsidR="00664BE5" w:rsidRPr="009960CD" w:rsidRDefault="00664BE5" w:rsidP="001F7AB5">
      <w:pPr>
        <w:pStyle w:val="10"/>
        <w:rPr>
          <w:lang w:val="en-US"/>
        </w:rPr>
      </w:pPr>
      <w:r w:rsidRPr="009960CD">
        <w:rPr>
          <w:lang w:val="en-US"/>
        </w:rPr>
        <w:lastRenderedPageBreak/>
        <w:t>There is an impediment to trade in goods. Specifically, good</w:t>
      </w:r>
      <w:r w:rsidR="00561F61">
        <w:rPr>
          <w:lang w:val="en-US"/>
        </w:rPr>
        <w:t xml:space="preserve">s </w:t>
      </w:r>
      <w:r w:rsidRPr="009960CD">
        <w:rPr>
          <w:lang w:val="en-US"/>
        </w:rPr>
        <w:t xml:space="preserve">can be </w:t>
      </w:r>
      <w:r w:rsidR="00561F61">
        <w:rPr>
          <w:lang w:val="en-US"/>
        </w:rPr>
        <w:t>exported</w:t>
      </w:r>
      <w:r w:rsidRPr="009960CD">
        <w:rPr>
          <w:lang w:val="en-US"/>
        </w:rPr>
        <w:t>, but again only at some border related friction cost (e.g., country specific standards, regulations, etc.)</w:t>
      </w:r>
      <w:r w:rsidR="001F7AB5">
        <w:rPr>
          <w:lang w:val="en-US"/>
        </w:rPr>
        <w:t xml:space="preserve">. For concreteness of the notation, we consider y as an export good. A similar </w:t>
      </w:r>
      <w:r w:rsidR="00FD01CD">
        <w:rPr>
          <w:lang w:val="en-US"/>
        </w:rPr>
        <w:t>and straightforward</w:t>
      </w:r>
      <w:r w:rsidR="001F7AB5">
        <w:rPr>
          <w:lang w:val="en-US"/>
        </w:rPr>
        <w:t xml:space="preserve"> notation applies when x is the export good.</w:t>
      </w:r>
      <w:r w:rsidR="001F7AB5">
        <w:rPr>
          <w:rStyle w:val="Appelnotedebasdep"/>
          <w:lang w:val="en-US"/>
        </w:rPr>
        <w:footnoteReference w:id="10"/>
      </w:r>
      <w:r w:rsidR="001F7AB5">
        <w:rPr>
          <w:lang w:val="en-US"/>
        </w:rPr>
        <w:t xml:space="preserve"> We denote this cost </w:t>
      </w:r>
      <w:r w:rsidRPr="009960CD">
        <w:rPr>
          <w:lang w:val="en-US"/>
        </w:rPr>
        <w:t>per unit of price</w:t>
      </w:r>
      <w:r w:rsidR="001F7AB5" w:rsidRPr="001F7AB5">
        <w:rPr>
          <w:lang w:val="en-US"/>
        </w:rPr>
        <w:t xml:space="preserve"> </w:t>
      </w:r>
      <w:r w:rsidR="001F7AB5">
        <w:rPr>
          <w:lang w:val="en-US"/>
        </w:rPr>
        <w:t xml:space="preserve">by  </w:t>
      </w:r>
      <w:r w:rsidR="001F7AB5" w:rsidRPr="009960CD">
        <w:rPr>
          <w:lang w:val="en-US"/>
        </w:rPr>
        <w:t xml:space="preserv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00FD01CD" w:rsidRPr="009960CD">
        <w:rPr>
          <w:lang w:val="en-US"/>
        </w:rPr>
        <w:t xml:space="preserve">, </w:t>
      </w:r>
      <w:r w:rsidR="00FD01CD">
        <w:rPr>
          <w:lang w:val="en-US"/>
        </w:rPr>
        <w:t>so</w:t>
      </w:r>
      <w:r w:rsidRPr="009960CD">
        <w:rPr>
          <w:lang w:val="en-US"/>
        </w:rPr>
        <w:t xml:space="preserve"> that the domestic price of</w:t>
      </w:r>
      <w:r w:rsidR="00C61F25">
        <w:rPr>
          <w:lang w:val="en-US"/>
        </w:rPr>
        <w:t xml:space="preserve"> the </w:t>
      </w:r>
      <w:r w:rsidR="00A23EE2">
        <w:rPr>
          <w:lang w:val="en-US"/>
        </w:rPr>
        <w:t xml:space="preserve">export </w:t>
      </w:r>
      <w:r w:rsidR="00A23EE2" w:rsidRPr="009960CD">
        <w:rPr>
          <w:lang w:val="en-US"/>
        </w:rPr>
        <w:t>good</w:t>
      </w:r>
      <w:r w:rsidRPr="009960CD">
        <w:rPr>
          <w:lang w:val="en-US"/>
        </w:rPr>
        <w:t xml:space="preserve"> y is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664BE5" w:rsidRPr="009960CD" w14:paraId="0BDADCC1" w14:textId="77777777" w:rsidTr="00A772AA">
        <w:trPr>
          <w:trHeight w:val="737"/>
        </w:trPr>
        <w:tc>
          <w:tcPr>
            <w:tcW w:w="846" w:type="dxa"/>
            <w:vAlign w:val="center"/>
          </w:tcPr>
          <w:p w14:paraId="3FA4F4CB" w14:textId="1431099A" w:rsidR="00664BE5" w:rsidRPr="009960CD" w:rsidRDefault="00664BE5" w:rsidP="00D032B8">
            <w:pPr>
              <w:pStyle w:val="10"/>
              <w:spacing w:after="0"/>
              <w:jc w:val="left"/>
              <w:rPr>
                <w:lang w:val="en-US" w:bidi="he-IL"/>
              </w:rPr>
            </w:pPr>
            <w:r w:rsidRPr="009960CD">
              <w:rPr>
                <w:iCs/>
                <w:lang w:val="en-US"/>
              </w:rPr>
              <w:t>(</w:t>
            </w:r>
            <w:r w:rsidR="00D032B8" w:rsidRPr="009960CD">
              <w:rPr>
                <w:noProof/>
                <w:lang w:val="en-US"/>
              </w:rPr>
              <w:t>3</w:t>
            </w:r>
            <w:r w:rsidRPr="009960CD">
              <w:rPr>
                <w:iCs/>
                <w:lang w:val="en-US"/>
              </w:rPr>
              <w:t>)</w:t>
            </w:r>
          </w:p>
        </w:tc>
        <w:tc>
          <w:tcPr>
            <w:tcW w:w="7796" w:type="dxa"/>
            <w:vAlign w:val="center"/>
          </w:tcPr>
          <w:p w14:paraId="0AB2067C" w14:textId="77777777" w:rsidR="00664BE5" w:rsidRDefault="00664BE5" w:rsidP="00A772AA">
            <w:pPr>
              <w:pStyle w:val="10"/>
              <w:spacing w:after="0"/>
              <w:jc w:val="center"/>
              <w:rPr>
                <w:lang w:val="en-US"/>
              </w:rPr>
            </w:pP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 xml:space="preserve"> = </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m:t>
                      </m:r>
                    </m:sup>
                  </m:sSup>
                </m:num>
                <m:den>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 +</m:t>
                      </m:r>
                      <m:sSub>
                        <m:sSubPr>
                          <m:ctrlPr>
                            <w:rPr>
                              <w:rFonts w:ascii="Cambria Math" w:hAnsi="Cambria Math"/>
                              <w:i/>
                              <w:lang w:val="en-US"/>
                            </w:rPr>
                          </m:ctrlPr>
                        </m:sSubPr>
                        <m:e>
                          <m:r>
                            <w:rPr>
                              <w:rFonts w:ascii="Cambria Math" w:hAnsi="Cambria Math"/>
                              <w:lang w:val="en-US"/>
                            </w:rPr>
                            <m:t xml:space="preserve"> δ</m:t>
                          </m:r>
                        </m:e>
                        <m:sub>
                          <m:r>
                            <w:rPr>
                              <w:rFonts w:ascii="Cambria Math" w:hAnsi="Cambria Math"/>
                              <w:lang w:val="en-US"/>
                            </w:rPr>
                            <m:t>y</m:t>
                          </m:r>
                        </m:sub>
                      </m:sSub>
                    </m:e>
                  </m:d>
                </m:den>
              </m:f>
              <m:r>
                <w:rPr>
                  <w:rFonts w:ascii="Cambria Math" w:hAnsi="Cambria Math"/>
                  <w:lang w:val="en-US"/>
                </w:rPr>
                <m:t>.</m:t>
              </m:r>
            </m:oMath>
            <w:r w:rsidRPr="009960CD">
              <w:rPr>
                <w:lang w:val="en-US"/>
              </w:rPr>
              <w:t xml:space="preserve"> </w:t>
            </w:r>
          </w:p>
          <w:p w14:paraId="364FDB20" w14:textId="77777777" w:rsidR="00561F61" w:rsidRPr="009960CD" w:rsidRDefault="00561F61" w:rsidP="00A772AA">
            <w:pPr>
              <w:pStyle w:val="10"/>
              <w:spacing w:after="0"/>
              <w:jc w:val="center"/>
              <w:rPr>
                <w:lang w:val="en-US"/>
              </w:rPr>
            </w:pPr>
          </w:p>
        </w:tc>
        <w:tc>
          <w:tcPr>
            <w:tcW w:w="708" w:type="dxa"/>
            <w:vAlign w:val="center"/>
          </w:tcPr>
          <w:p w14:paraId="30962A20" w14:textId="77777777" w:rsidR="00664BE5" w:rsidRPr="009960CD" w:rsidRDefault="00664BE5" w:rsidP="00A772AA">
            <w:pPr>
              <w:pStyle w:val="10"/>
              <w:spacing w:after="0"/>
              <w:jc w:val="center"/>
              <w:rPr>
                <w:lang w:val="en-US" w:bidi="he-IL"/>
              </w:rPr>
            </w:pPr>
          </w:p>
        </w:tc>
      </w:tr>
    </w:tbl>
    <w:p w14:paraId="5815BB43" w14:textId="589CFCE8" w:rsidR="001F2C80" w:rsidRDefault="001F2C80" w:rsidP="001F7AB5">
      <w:pPr>
        <w:pStyle w:val="10"/>
      </w:pPr>
      <w:r>
        <w:rPr>
          <w:lang w:bidi="he-IL"/>
        </w:rPr>
        <w:t>In order to consider redistribution issues, which are at the heart of the welfare state, we assume that there minimally</w:t>
      </w:r>
      <w:r w:rsidRPr="00F06189">
        <w:rPr>
          <w:lang w:bidi="he-IL"/>
        </w:rPr>
        <w:t xml:space="preserve"> are two types of individuals -- low skilled</w:t>
      </w:r>
      <w:r w:rsidR="00843190">
        <w:rPr>
          <w:lang w:bidi="he-IL"/>
        </w:rPr>
        <w:t>-poor</w:t>
      </w:r>
      <w:r w:rsidRPr="00F06189">
        <w:rPr>
          <w:lang w:bidi="he-IL"/>
        </w:rPr>
        <w:t xml:space="preserve"> (indexed </w:t>
      </w:r>
      <m:oMath>
        <m:r>
          <w:rPr>
            <w:rFonts w:ascii="Cambria Math" w:hAnsi="Cambria Math"/>
            <w:lang w:bidi="he-IL"/>
          </w:rPr>
          <m:t>u</m:t>
        </m:r>
      </m:oMath>
      <w:r w:rsidRPr="00F06189">
        <w:rPr>
          <w:lang w:bidi="he-IL"/>
        </w:rPr>
        <w:t>) and high</w:t>
      </w:r>
      <w:r w:rsidR="001F7AB5">
        <w:rPr>
          <w:lang w:bidi="he-IL"/>
        </w:rPr>
        <w:t>-</w:t>
      </w:r>
      <w:r w:rsidRPr="00F06189">
        <w:rPr>
          <w:lang w:bidi="he-IL"/>
        </w:rPr>
        <w:t xml:space="preserve">skilled </w:t>
      </w:r>
      <w:r w:rsidR="001F7AB5">
        <w:rPr>
          <w:lang w:bidi="he-IL"/>
        </w:rPr>
        <w:t>–</w:t>
      </w:r>
      <w:r w:rsidR="00843190">
        <w:rPr>
          <w:lang w:bidi="he-IL"/>
        </w:rPr>
        <w:t>rich</w:t>
      </w:r>
      <w:r w:rsidR="001F7AB5">
        <w:rPr>
          <w:lang w:bidi="he-IL"/>
        </w:rPr>
        <w:t xml:space="preserve"> </w:t>
      </w:r>
      <w:r w:rsidRPr="00F06189">
        <w:rPr>
          <w:lang w:bidi="he-IL"/>
        </w:rPr>
        <w:t xml:space="preserve">(indexed </w:t>
      </w:r>
      <m:oMath>
        <m:r>
          <w:rPr>
            <w:rFonts w:ascii="Cambria Math" w:hAnsi="Cambria Math"/>
            <w:lang w:bidi="he-IL"/>
          </w:rPr>
          <m:t>s</m:t>
        </m:r>
      </m:oMath>
      <w:r w:rsidRPr="00F06189">
        <w:rPr>
          <w:lang w:bidi="he-IL"/>
        </w:rPr>
        <w:t>).</w:t>
      </w:r>
      <w:r w:rsidRPr="00970FB1">
        <w:t>There are two types of factors of production—capital (K) and labor (L). The workers have two types of skills—low (l) and high (h).</w:t>
      </w:r>
      <w:r w:rsidR="00843190">
        <w:t xml:space="preserve"> Labor market productivity of the skilled individual is 1 and labor market productivity of the unskilled individual is </w:t>
      </w:r>
      <m:oMath>
        <m:sSub>
          <m:sSubPr>
            <m:ctrlPr>
              <w:rPr>
                <w:rFonts w:ascii="Cambria Math" w:hAnsi="Cambria Math"/>
                <w:i/>
                <w:lang w:val="en-US"/>
              </w:rPr>
            </m:ctrlPr>
          </m:sSubPr>
          <m:e>
            <m:r>
              <w:rPr>
                <w:rFonts w:ascii="Cambria Math" w:hAnsi="Cambria Math"/>
                <w:lang w:val="en-US"/>
              </w:rPr>
              <m:t>ρ</m:t>
            </m:r>
          </m:e>
          <m:sub/>
        </m:sSub>
        <m:r>
          <w:rPr>
            <w:rFonts w:ascii="Cambria Math" w:hAnsi="Cambria Math"/>
            <w:lang w:val="en-US"/>
          </w:rPr>
          <m:t>&lt;  1.</m:t>
        </m:r>
      </m:oMath>
    </w:p>
    <w:p w14:paraId="13440767" w14:textId="28E80EF4" w:rsidR="001F2C80" w:rsidRPr="00970FB1" w:rsidRDefault="001F2C80" w:rsidP="001F7AB5">
      <w:pPr>
        <w:pStyle w:val="10"/>
      </w:pPr>
      <w:r w:rsidRPr="00970FB1">
        <w:t xml:space="preserve">Each high-skill individual is endowed with </w:t>
      </w:r>
      <m:oMath>
        <m:r>
          <w:rPr>
            <w:rFonts w:ascii="Cambria Math" w:hAnsi="Cambria Math"/>
            <w:lang w:val="en-US"/>
          </w:rPr>
          <m:t xml:space="preserve"> </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s</m:t>
            </m:r>
          </m:sub>
        </m:sSub>
      </m:oMath>
      <w:r w:rsidRPr="00970FB1">
        <w:t>unit</w:t>
      </w:r>
      <w:r w:rsidR="00843190">
        <w:t xml:space="preserve">s of good x, and </w:t>
      </w:r>
      <w:r w:rsidRPr="00970FB1">
        <w:t xml:space="preserve">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y</m:t>
                </m:r>
              </m:e>
            </m:acc>
          </m:e>
          <m:sub>
            <m:r>
              <w:rPr>
                <w:rFonts w:ascii="Cambria Math" w:hAnsi="Cambria Math"/>
                <w:lang w:val="en-US"/>
              </w:rPr>
              <m:t>s</m:t>
            </m:r>
          </m:sub>
        </m:sSub>
      </m:oMath>
      <w:r w:rsidR="001F7AB5">
        <w:rPr>
          <w:lang w:val="en-US"/>
        </w:rPr>
        <w:t xml:space="preserve"> units </w:t>
      </w:r>
      <w:r w:rsidR="00FD01CD" w:rsidRPr="00970FB1">
        <w:t>of</w:t>
      </w:r>
      <w:r w:rsidR="00FD01CD">
        <w:t xml:space="preserve"> </w:t>
      </w:r>
      <w:r w:rsidR="00FD01CD" w:rsidRPr="00970FB1">
        <w:t>good</w:t>
      </w:r>
      <w:r w:rsidR="00843190">
        <w:t xml:space="preserve"> y </w:t>
      </w:r>
      <w:r>
        <w:t xml:space="preserve">, respectively, </w:t>
      </w:r>
      <w:r w:rsidRPr="00970FB1">
        <w:t xml:space="preserve"> in the first period; a low-skill individual is endowed with</w:t>
      </w:r>
      <w:r w:rsidR="001F7AB5" w:rsidRPr="001F7AB5">
        <w:t xml:space="preserve"> </w:t>
      </w:r>
      <w:r w:rsidR="001F7AB5" w:rsidRPr="00970FB1">
        <w:t>only</w:t>
      </w:r>
      <w:r w:rsidR="001F7AB5">
        <w:t xml:space="preserve"> </w:t>
      </w:r>
      <w:r w:rsidRPr="00970FB1">
        <w:t xml:space="preserve"> </w:t>
      </w:r>
      <m:oMath>
        <m:r>
          <w:rPr>
            <w:rFonts w:ascii="Cambria Math" w:hAnsi="Cambria Math"/>
          </w:rPr>
          <m:t>θ&lt;1</m:t>
        </m:r>
      </m:oMath>
      <w:r w:rsidRPr="00970FB1">
        <w:t xml:space="preserve"> units</w:t>
      </w:r>
      <w:r>
        <w:t xml:space="preserve"> of the skilled endowements. </w:t>
      </w:r>
      <w:r w:rsidRPr="00970FB1">
        <w:t xml:space="preserve"> Thus, an skill</w:t>
      </w:r>
      <w:r w:rsidR="00843190">
        <w:t>ed-rich</w:t>
      </w:r>
      <w:r w:rsidRPr="00970FB1">
        <w:t xml:space="preserve"> individual enjoys both higher initial endowment (“wealth”), and higher labor market skill than the </w:t>
      </w:r>
      <w:r w:rsidR="00843190">
        <w:t>un</w:t>
      </w:r>
      <w:r w:rsidRPr="00970FB1">
        <w:t>skill</w:t>
      </w:r>
      <w:r w:rsidR="00843190">
        <w:t>ed-poor</w:t>
      </w:r>
      <w:r w:rsidRPr="00970FB1">
        <w:t xml:space="preserve"> individual.</w:t>
      </w:r>
    </w:p>
    <w:p w14:paraId="43F66C97" w14:textId="7DA41814" w:rsidR="00F06189" w:rsidRPr="001F2C80" w:rsidRDefault="00F06189" w:rsidP="003E065D">
      <w:pPr>
        <w:pStyle w:val="10"/>
      </w:pPr>
    </w:p>
    <w:p w14:paraId="5FB0C5D4" w14:textId="7CD95D9E" w:rsidR="00F06189" w:rsidRPr="009960CD" w:rsidRDefault="00F06189" w:rsidP="00C61F25">
      <w:pPr>
        <w:pStyle w:val="10"/>
        <w:rPr>
          <w:lang w:val="en-US"/>
        </w:rPr>
      </w:pPr>
      <w:r w:rsidRPr="009960CD">
        <w:rPr>
          <w:lang w:val="en-US"/>
        </w:rPr>
        <w:lastRenderedPageBreak/>
        <w:t xml:space="preserve">The overall size of the initial native-born population </w:t>
      </w:r>
      <w:r w:rsidR="00FD01CD" w:rsidRPr="009960CD">
        <w:rPr>
          <w:lang w:val="en-US"/>
        </w:rPr>
        <w:t>is</w:t>
      </w:r>
      <w:r w:rsidR="00FD01CD">
        <w:rPr>
          <w:lang w:val="en-US"/>
        </w:rPr>
        <w:t xml:space="preserve"> normalized</w:t>
      </w:r>
      <w:r w:rsidRPr="009960CD">
        <w:rPr>
          <w:lang w:val="en-US"/>
        </w:rPr>
        <w:t xml:space="preserve"> to one, where</w:t>
      </w:r>
      <w:r w:rsidR="003F715F" w:rsidRPr="009960CD">
        <w:rPr>
          <w:lang w:val="en-US"/>
        </w:rPr>
        <w:t xml:space="preserve"> a proportion</w:t>
      </w:r>
      <w:r w:rsidRPr="009960CD">
        <w:rPr>
          <w:lang w:val="en-US"/>
        </w:rPr>
        <w:t xml:space="preserve"> </w:t>
      </w:r>
      <m:oMath>
        <m:r>
          <m:rPr>
            <m:sty m:val="p"/>
          </m:rPr>
          <w:rPr>
            <w:rFonts w:ascii="Cambria Math" w:hAnsi="Cambria Math"/>
            <w:lang w:val="en-US"/>
          </w:rPr>
          <m:t>λ</m:t>
        </m:r>
      </m:oMath>
      <w:r w:rsidRPr="009960CD">
        <w:rPr>
          <w:lang w:val="en-US"/>
        </w:rPr>
        <w:t xml:space="preserve"> of the population is of high skill and</w:t>
      </w:r>
      <w:r w:rsidR="003F715F" w:rsidRPr="009960CD">
        <w:rPr>
          <w:lang w:val="en-US"/>
        </w:rPr>
        <w:t xml:space="preserve"> a proportion </w:t>
      </w:r>
      <w:r w:rsidRPr="009960CD">
        <w:rPr>
          <w:lang w:val="en-US"/>
        </w:rPr>
        <w:t xml:space="preserve"> </w:t>
      </w:r>
      <m:oMath>
        <m:r>
          <w:rPr>
            <w:rFonts w:ascii="Cambria Math" w:hAnsi="Cambria Math"/>
            <w:lang w:val="en-US"/>
          </w:rPr>
          <m:t>1-</m:t>
        </m:r>
        <m:r>
          <m:rPr>
            <m:sty m:val="p"/>
          </m:rPr>
          <w:rPr>
            <w:rFonts w:ascii="Cambria Math" w:hAnsi="Cambria Math"/>
            <w:lang w:val="en-US"/>
          </w:rPr>
          <m:t>λ</m:t>
        </m:r>
      </m:oMath>
      <w:r w:rsidRPr="009960CD">
        <w:rPr>
          <w:lang w:val="en-US"/>
        </w:rPr>
        <w:t xml:space="preserve"> is of low skill. We denote by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≥0</m:t>
        </m:r>
      </m:oMath>
      <w:r w:rsidRPr="009960CD">
        <w:rPr>
          <w:lang w:val="en-US"/>
        </w:rPr>
        <w:t xml:space="preserve"> the number of high-skill emigrants. Note that when</w:t>
      </w:r>
      <m:oMath>
        <m:r>
          <w:rPr>
            <w:rFonts w:ascii="Cambria Math" w:hAnsi="Cambria Math"/>
            <w:lang w:val="en-US"/>
          </w:rPr>
          <m:t xml:space="preserve">   </m:t>
        </m:r>
        <m:r>
          <m:rPr>
            <m:sty m:val="p"/>
          </m:rPr>
          <w:rPr>
            <w:rFonts w:ascii="Cambria Math" w:hAnsi="Cambria Math"/>
            <w:lang w:val="en-US"/>
          </w:rPr>
          <m:t>λ&lt;0.5</m:t>
        </m:r>
      </m:oMath>
      <w:r w:rsidRPr="009960CD">
        <w:rPr>
          <w:lang w:val="en-US"/>
        </w:rPr>
        <w:t xml:space="preserve">, then the low-skill form a majority and will be decisive in the voting process. </w:t>
      </w:r>
      <w:r w:rsidR="00A23EE2">
        <w:rPr>
          <w:lang w:val="en-US"/>
        </w:rPr>
        <w:t>W</w:t>
      </w:r>
      <w:r w:rsidR="00A23EE2" w:rsidRPr="009960CD">
        <w:rPr>
          <w:lang w:val="en-US"/>
        </w:rPr>
        <w:t>hen</w:t>
      </w:r>
      <w:r w:rsidR="001F2C80">
        <w:rPr>
          <w:lang w:val="en-US"/>
        </w:rPr>
        <w:t xml:space="preserve"> </w:t>
      </w:r>
      <m:oMath>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&gt;0.5</m:t>
        </m:r>
      </m:oMath>
      <w:r w:rsidR="00C61F25" w:rsidRPr="009960CD">
        <w:rPr>
          <w:lang w:val="en-US"/>
        </w:rPr>
        <w:t xml:space="preserve">, </w:t>
      </w:r>
      <w:r w:rsidR="00C61F25">
        <w:rPr>
          <w:lang w:val="en-US"/>
        </w:rPr>
        <w:t>a</w:t>
      </w:r>
      <w:r w:rsidR="003F715F" w:rsidRPr="009960CD">
        <w:rPr>
          <w:lang w:val="en-US"/>
        </w:rPr>
        <w:t>ssuming that emigrants do not partici</w:t>
      </w:r>
      <w:r w:rsidR="00C61F25">
        <w:rPr>
          <w:lang w:val="en-US"/>
        </w:rPr>
        <w:t>pate in the political process,</w:t>
      </w:r>
      <w:r w:rsidRPr="009960CD">
        <w:rPr>
          <w:lang w:val="en-US"/>
        </w:rPr>
        <w:t xml:space="preserve"> the high skill form the majority and are decisive in the voting process.</w:t>
      </w:r>
    </w:p>
    <w:p w14:paraId="334C2648" w14:textId="696DA25E" w:rsidR="006205C2" w:rsidRPr="009960CD" w:rsidRDefault="006205C2" w:rsidP="003F715F">
      <w:pPr>
        <w:pStyle w:val="10"/>
        <w:rPr>
          <w:lang w:val="en-US"/>
        </w:rPr>
      </w:pPr>
      <w:r w:rsidRPr="009960CD">
        <w:rPr>
          <w:lang w:val="en-US"/>
        </w:rPr>
        <w:t>To consider</w:t>
      </w:r>
      <w:r w:rsidR="003A1760" w:rsidRPr="009960CD">
        <w:rPr>
          <w:lang w:val="en-US"/>
        </w:rPr>
        <w:t xml:space="preserve"> </w:t>
      </w:r>
      <w:r w:rsidRPr="009960CD">
        <w:rPr>
          <w:lang w:val="en-US"/>
        </w:rPr>
        <w:t>saving and investment we assume that there minimally are tw</w:t>
      </w:r>
      <w:r w:rsidR="003A1760" w:rsidRPr="009960CD">
        <w:rPr>
          <w:lang w:val="en-US"/>
        </w:rPr>
        <w:t>o</w:t>
      </w:r>
      <w:r w:rsidRPr="009960CD">
        <w:rPr>
          <w:lang w:val="en-US"/>
        </w:rPr>
        <w:t xml:space="preserve"> periods (1 and 2).</w:t>
      </w:r>
    </w:p>
    <w:p w14:paraId="3AD2F68C" w14:textId="4C1B4918" w:rsidR="00F06189" w:rsidRPr="009960CD" w:rsidRDefault="00F06189" w:rsidP="006205C2">
      <w:pPr>
        <w:pStyle w:val="10"/>
        <w:rPr>
          <w:lang w:val="en-US"/>
        </w:rPr>
      </w:pPr>
      <w:r w:rsidRPr="009960CD">
        <w:rPr>
          <w:lang w:val="en-US"/>
        </w:rPr>
        <w:t xml:space="preserve">A representative firm produces good </w:t>
      </w:r>
      <m:oMath>
        <m:r>
          <w:rPr>
            <w:rFonts w:ascii="Cambria Math" w:hAnsi="Cambria Math"/>
            <w:lang w:val="en-US"/>
          </w:rPr>
          <m:t>g</m:t>
        </m:r>
      </m:oMath>
      <w:r w:rsidRPr="009960CD">
        <w:rPr>
          <w:lang w:val="en-US"/>
        </w:rPr>
        <w:t xml:space="preserve"> according to a constant-returns-to scale technology:</w:t>
      </w:r>
    </w:p>
    <w:p w14:paraId="6920F9A8" w14:textId="0A83ABA7" w:rsidR="003F715F" w:rsidRPr="009960CD" w:rsidRDefault="0067442C" w:rsidP="00D032B8">
      <w:pPr>
        <w:pStyle w:val="Lgende"/>
        <w:ind w:left="360"/>
        <w:rPr>
          <w:rFonts w:ascii="Times New Roman" w:eastAsiaTheme="minorEastAsia" w:hAnsi="Times New Roman" w:cs="Times New Roman"/>
          <w:i w:val="0"/>
          <w:color w:val="auto"/>
          <w:sz w:val="22"/>
        </w:rPr>
      </w:pPr>
      <m:oMath>
        <m:d>
          <m:dPr>
            <m:ctrlPr>
              <w:rPr>
                <w:rFonts w:ascii="Cambria Math" w:hAnsi="Cambria Math"/>
                <w:color w:val="auto"/>
                <w:sz w:val="22"/>
              </w:rPr>
            </m:ctrlPr>
          </m:dPr>
          <m:e>
            <m:r>
              <w:rPr>
                <w:rFonts w:ascii="Cambria Math" w:hAnsi="Cambria Math"/>
                <w:color w:val="auto"/>
                <w:sz w:val="22"/>
              </w:rPr>
              <m:t>4</m:t>
            </m:r>
          </m:e>
        </m:d>
        <m:r>
          <w:rPr>
            <w:rFonts w:ascii="Cambria Math" w:hAnsi="Cambria Math"/>
            <w:color w:val="auto"/>
            <w:sz w:val="22"/>
          </w:rPr>
          <m:t xml:space="preserve">           g=</m:t>
        </m:r>
        <m:sSub>
          <m:sSubPr>
            <m:ctrlPr>
              <w:rPr>
                <w:rFonts w:ascii="Cambria Math" w:hAnsi="Cambria Math"/>
                <w:i w:val="0"/>
                <w:color w:val="auto"/>
                <w:sz w:val="22"/>
              </w:rPr>
            </m:ctrlPr>
          </m:sSubPr>
          <m:e>
            <m:r>
              <w:rPr>
                <w:rFonts w:ascii="Cambria Math" w:hAnsi="Cambria Math"/>
                <w:color w:val="auto"/>
                <w:sz w:val="22"/>
              </w:rPr>
              <m:t>A</m:t>
            </m:r>
          </m:e>
          <m:sub>
            <m:r>
              <w:rPr>
                <w:rFonts w:ascii="Cambria Math" w:hAnsi="Cambria Math"/>
                <w:color w:val="auto"/>
                <w:sz w:val="22"/>
              </w:rPr>
              <m:t>g</m:t>
            </m:r>
          </m:sub>
        </m:sSub>
        <m:sSub>
          <m:sSubPr>
            <m:ctrlPr>
              <w:rPr>
                <w:rFonts w:ascii="Cambria Math" w:hAnsi="Cambria Math"/>
                <w:i w:val="0"/>
                <w:color w:val="auto"/>
                <w:sz w:val="22"/>
              </w:rPr>
            </m:ctrlPr>
          </m:sSubPr>
          <m:e>
            <m:r>
              <w:rPr>
                <w:rFonts w:ascii="Cambria Math" w:hAnsi="Cambria Math"/>
                <w:color w:val="auto"/>
                <w:sz w:val="22"/>
              </w:rPr>
              <m:t>F</m:t>
            </m:r>
          </m:e>
          <m:sub>
            <m:r>
              <w:rPr>
                <w:rFonts w:ascii="Cambria Math" w:hAnsi="Cambria Math"/>
                <w:color w:val="auto"/>
                <w:sz w:val="22"/>
              </w:rPr>
              <m:t>g</m:t>
            </m:r>
          </m:sub>
        </m:sSub>
        <m:d>
          <m:dPr>
            <m:ctrlPr>
              <w:rPr>
                <w:rFonts w:ascii="Cambria Math" w:hAnsi="Cambria Math"/>
                <w:i w:val="0"/>
                <w:color w:val="auto"/>
                <w:sz w:val="22"/>
              </w:rPr>
            </m:ctrlPr>
          </m:dPr>
          <m:e>
            <m:sSub>
              <m:sSubPr>
                <m:ctrlPr>
                  <w:rPr>
                    <w:rFonts w:ascii="Cambria Math" w:hAnsi="Cambria Math"/>
                    <w:i w:val="0"/>
                    <w:color w:val="auto"/>
                    <w:sz w:val="22"/>
                  </w:rPr>
                </m:ctrlPr>
              </m:sSubPr>
              <m:e>
                <m:r>
                  <w:rPr>
                    <w:rFonts w:ascii="Cambria Math" w:hAnsi="Cambria Math"/>
                    <w:color w:val="auto"/>
                    <w:sz w:val="22"/>
                  </w:rPr>
                  <m:t>K</m:t>
                </m:r>
              </m:e>
              <m:sub>
                <m:r>
                  <w:rPr>
                    <w:rFonts w:ascii="Cambria Math" w:hAnsi="Cambria Math"/>
                    <w:color w:val="auto"/>
                    <w:sz w:val="22"/>
                  </w:rPr>
                  <m:t>g</m:t>
                </m:r>
              </m:sub>
            </m:sSub>
            <m:r>
              <w:rPr>
                <w:rFonts w:ascii="Cambria Math" w:hAnsi="Cambria Math"/>
                <w:color w:val="auto"/>
                <w:sz w:val="22"/>
              </w:rPr>
              <m:t>,</m:t>
            </m:r>
            <m:sSub>
              <m:sSubPr>
                <m:ctrlPr>
                  <w:rPr>
                    <w:rFonts w:ascii="Cambria Math" w:hAnsi="Cambria Math"/>
                    <w:i w:val="0"/>
                    <w:color w:val="auto"/>
                    <w:sz w:val="22"/>
                  </w:rPr>
                </m:ctrlPr>
              </m:sSubPr>
              <m:e>
                <m:r>
                  <w:rPr>
                    <w:rFonts w:ascii="Cambria Math" w:hAnsi="Cambria Math"/>
                    <w:color w:val="auto"/>
                    <w:sz w:val="22"/>
                  </w:rPr>
                  <m:t>L</m:t>
                </m:r>
              </m:e>
              <m:sub>
                <m:r>
                  <w:rPr>
                    <w:rFonts w:ascii="Cambria Math" w:hAnsi="Cambria Math"/>
                    <w:color w:val="auto"/>
                    <w:sz w:val="22"/>
                  </w:rPr>
                  <m:t>g</m:t>
                </m:r>
              </m:sub>
            </m:sSub>
          </m:e>
        </m:d>
        <m:r>
          <w:rPr>
            <w:rFonts w:ascii="Cambria Math" w:hAnsi="Cambria Math"/>
            <w:color w:val="auto"/>
            <w:sz w:val="22"/>
          </w:rPr>
          <m:t xml:space="preserve">=  </m:t>
        </m:r>
        <m:sSub>
          <m:sSubPr>
            <m:ctrlPr>
              <w:rPr>
                <w:rFonts w:ascii="Cambria Math" w:hAnsi="Cambria Math"/>
                <w:i w:val="0"/>
                <w:color w:val="auto"/>
                <w:sz w:val="22"/>
              </w:rPr>
            </m:ctrlPr>
          </m:sSubPr>
          <m:e>
            <m:r>
              <w:rPr>
                <w:rFonts w:ascii="Cambria Math" w:hAnsi="Cambria Math"/>
                <w:color w:val="auto"/>
                <w:sz w:val="22"/>
              </w:rPr>
              <m:t>A</m:t>
            </m:r>
          </m:e>
          <m:sub>
            <m:r>
              <w:rPr>
                <w:rFonts w:ascii="Cambria Math" w:hAnsi="Cambria Math"/>
                <w:color w:val="auto"/>
                <w:sz w:val="22"/>
              </w:rPr>
              <m:t>g</m:t>
            </m:r>
          </m:sub>
        </m:sSub>
        <m:sSubSup>
          <m:sSubSupPr>
            <m:ctrlPr>
              <w:rPr>
                <w:rFonts w:ascii="Cambria Math" w:hAnsi="Cambria Math"/>
                <w:i w:val="0"/>
                <w:color w:val="auto"/>
                <w:sz w:val="22"/>
              </w:rPr>
            </m:ctrlPr>
          </m:sSubSupPr>
          <m:e>
            <m:r>
              <w:rPr>
                <w:rFonts w:ascii="Cambria Math" w:hAnsi="Cambria Math"/>
                <w:color w:val="auto"/>
                <w:sz w:val="22"/>
              </w:rPr>
              <m:t>K</m:t>
            </m:r>
          </m:e>
          <m:sub>
            <m:r>
              <w:rPr>
                <w:rFonts w:ascii="Cambria Math" w:hAnsi="Cambria Math"/>
                <w:color w:val="auto"/>
                <w:sz w:val="22"/>
              </w:rPr>
              <m:t>g</m:t>
            </m:r>
          </m:sub>
          <m:sup>
            <m:sSub>
              <m:sSubPr>
                <m:ctrlPr>
                  <w:rPr>
                    <w:rFonts w:ascii="Cambria Math" w:hAnsi="Cambria Math"/>
                    <w:i w:val="0"/>
                    <w:color w:val="auto"/>
                    <w:sz w:val="22"/>
                  </w:rPr>
                </m:ctrlPr>
              </m:sSubPr>
              <m:e>
                <m:r>
                  <w:rPr>
                    <w:rFonts w:ascii="Cambria Math" w:hAnsi="Cambria Math"/>
                    <w:color w:val="auto"/>
                    <w:sz w:val="22"/>
                  </w:rPr>
                  <m:t>α</m:t>
                </m:r>
              </m:e>
              <m:sub>
                <m:r>
                  <w:rPr>
                    <w:rFonts w:ascii="Cambria Math" w:hAnsi="Cambria Math"/>
                    <w:color w:val="auto"/>
                    <w:sz w:val="22"/>
                  </w:rPr>
                  <m:t>g</m:t>
                </m:r>
              </m:sub>
            </m:sSub>
          </m:sup>
        </m:sSubSup>
        <m:sSubSup>
          <m:sSubSupPr>
            <m:ctrlPr>
              <w:rPr>
                <w:rFonts w:ascii="Cambria Math" w:hAnsi="Cambria Math"/>
                <w:i w:val="0"/>
                <w:color w:val="auto"/>
                <w:sz w:val="22"/>
              </w:rPr>
            </m:ctrlPr>
          </m:sSubSupPr>
          <m:e>
            <m:r>
              <w:rPr>
                <w:rFonts w:ascii="Cambria Math" w:hAnsi="Cambria Math"/>
                <w:color w:val="auto"/>
                <w:sz w:val="22"/>
              </w:rPr>
              <m:t>L</m:t>
            </m:r>
          </m:e>
          <m:sub>
            <m:r>
              <w:rPr>
                <w:rFonts w:ascii="Cambria Math" w:hAnsi="Cambria Math"/>
                <w:color w:val="auto"/>
                <w:sz w:val="22"/>
              </w:rPr>
              <m:t>g</m:t>
            </m:r>
          </m:sub>
          <m:sup>
            <m:r>
              <w:rPr>
                <w:rFonts w:ascii="Cambria Math" w:hAnsi="Cambria Math"/>
                <w:color w:val="auto"/>
                <w:sz w:val="22"/>
              </w:rPr>
              <m:t>1-</m:t>
            </m:r>
            <m:sSub>
              <m:sSubPr>
                <m:ctrlPr>
                  <w:rPr>
                    <w:rFonts w:ascii="Cambria Math" w:hAnsi="Cambria Math"/>
                    <w:i w:val="0"/>
                    <w:color w:val="auto"/>
                    <w:sz w:val="22"/>
                  </w:rPr>
                </m:ctrlPr>
              </m:sSubPr>
              <m:e>
                <m:r>
                  <w:rPr>
                    <w:rFonts w:ascii="Cambria Math" w:hAnsi="Cambria Math"/>
                    <w:color w:val="auto"/>
                    <w:sz w:val="22"/>
                  </w:rPr>
                  <m:t>α</m:t>
                </m:r>
              </m:e>
              <m:sub>
                <m:r>
                  <w:rPr>
                    <w:rFonts w:ascii="Cambria Math" w:hAnsi="Cambria Math"/>
                    <w:color w:val="auto"/>
                    <w:sz w:val="22"/>
                  </w:rPr>
                  <m:t>g</m:t>
                </m:r>
              </m:sub>
            </m:sSub>
          </m:sup>
        </m:sSubSup>
      </m:oMath>
      <w:r w:rsidR="00450B31" w:rsidRPr="009960CD">
        <w:rPr>
          <w:rFonts w:ascii="Times New Roman" w:eastAsiaTheme="minorEastAsia" w:hAnsi="Times New Roman" w:cs="Times New Roman"/>
          <w:i w:val="0"/>
          <w:color w:val="auto"/>
          <w:sz w:val="22"/>
        </w:rPr>
        <w:t>,</w:t>
      </w:r>
      <w:r w:rsidR="006205C2" w:rsidRPr="009960CD">
        <w:rPr>
          <w:rFonts w:ascii="Times New Roman" w:eastAsiaTheme="minorEastAsia" w:hAnsi="Times New Roman" w:cs="Times New Roman"/>
          <w:i w:val="0"/>
          <w:color w:val="auto"/>
          <w:sz w:val="22"/>
        </w:rPr>
        <w:t xml:space="preserve">     </w:t>
      </w:r>
      <w:r w:rsidR="003F715F" w:rsidRPr="009960CD">
        <w:rPr>
          <w:rFonts w:ascii="Times New Roman" w:eastAsiaTheme="minorEastAsia" w:hAnsi="Times New Roman" w:cs="Times New Roman"/>
          <w:i w:val="0"/>
          <w:color w:val="auto"/>
          <w:sz w:val="22"/>
        </w:rPr>
        <w:t xml:space="preserve"> </w:t>
      </w:r>
      <m:oMath>
        <m:r>
          <w:rPr>
            <w:rFonts w:ascii="Cambria Math" w:hAnsi="Cambria Math"/>
          </w:rPr>
          <m:t xml:space="preserve">g=x, y, </m:t>
        </m:r>
      </m:oMath>
    </w:p>
    <w:p w14:paraId="7345048D" w14:textId="03518326" w:rsidR="00F06189" w:rsidRPr="009960CD" w:rsidRDefault="00F06189" w:rsidP="003F715F">
      <w:pPr>
        <w:pStyle w:val="10"/>
        <w:rPr>
          <w:lang w:val="en-US"/>
        </w:rPr>
      </w:pPr>
      <w:r w:rsidRPr="009960CD">
        <w:rPr>
          <w:lang w:val="en-US"/>
        </w:rPr>
        <w:t xml:space="preserve">where, </w:t>
      </w:r>
      <m:oMath>
        <m:sSub>
          <m:sSubPr>
            <m:ctrlPr>
              <w:rPr>
                <w:rFonts w:ascii="Cambria Math" w:hAnsi="Cambria Math"/>
                <w:lang w:val="en-US"/>
              </w:rPr>
            </m:ctrlPr>
          </m:sSubPr>
          <m:e>
            <m:r>
              <w:rPr>
                <w:rFonts w:ascii="Cambria Math" w:hAnsi="Cambria Math"/>
                <w:lang w:val="en-US"/>
              </w:rPr>
              <m:t>K</m:t>
            </m:r>
            <m:ctrlPr>
              <w:rPr>
                <w:rFonts w:ascii="Cambria Math" w:hAnsi="Cambria Math"/>
                <w:i/>
                <w:lang w:val="en-US"/>
              </w:rPr>
            </m:ctrlPr>
          </m:e>
          <m:sub>
            <m:r>
              <m:rPr>
                <m:sty m:val="p"/>
              </m:rPr>
              <w:rPr>
                <w:rFonts w:ascii="Cambria Math" w:hAnsi="Cambria Math"/>
                <w:lang w:val="en-US"/>
              </w:rPr>
              <m:t>g</m:t>
            </m:r>
          </m:sub>
        </m:sSub>
        <m:r>
          <m:rPr>
            <m:sty m:val="p"/>
          </m:rPr>
          <w:rPr>
            <w:rFonts w:ascii="Cambria Math" w:hAnsi="Cambria Math"/>
            <w:lang w:val="en-US"/>
          </w:rPr>
          <m:t xml:space="preserve">   </m:t>
        </m:r>
      </m:oMath>
      <w:r w:rsidRPr="009960CD">
        <w:rPr>
          <w:lang w:val="en-US"/>
        </w:rPr>
        <w:t xml:space="preserve"> is the </w:t>
      </w:r>
      <w:r w:rsidR="003F715F" w:rsidRPr="009960CD">
        <w:rPr>
          <w:lang w:val="en-US"/>
        </w:rPr>
        <w:t>input</w:t>
      </w:r>
      <w:r w:rsidRPr="009960CD">
        <w:rPr>
          <w:lang w:val="en-US"/>
        </w:rPr>
        <w:t xml:space="preserve"> of physical capital</w:t>
      </w:r>
      <w:r w:rsidR="003F715F" w:rsidRPr="009960CD">
        <w:rPr>
          <w:lang w:val="en-US"/>
        </w:rPr>
        <w:t>,</w:t>
      </w:r>
      <w:r w:rsidRPr="009960CD">
        <w:rPr>
          <w:lang w:val="en-US"/>
        </w:rPr>
        <w:t xml:space="preserve"> and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g</m:t>
            </m:r>
          </m:sub>
        </m:sSub>
      </m:oMath>
      <w:r w:rsidRPr="009960CD">
        <w:rPr>
          <w:lang w:val="en-US"/>
        </w:rPr>
        <w:t xml:space="preserve"> is labor, measured in efficiency units, used in the respective production process.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g</m:t>
            </m:r>
          </m:sub>
        </m:sSub>
        <m:r>
          <w:rPr>
            <w:rFonts w:ascii="Cambria Math" w:hAnsi="Cambria Math"/>
            <w:lang w:val="en-US"/>
          </w:rPr>
          <m:t>&gt;0</m:t>
        </m:r>
      </m:oMath>
      <w:r w:rsidRPr="009960CD">
        <w:rPr>
          <w:lang w:val="en-US"/>
        </w:rPr>
        <w:t xml:space="preserve"> is a total factor productivity coefficient, and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g</m:t>
            </m:r>
          </m:sub>
        </m:sSub>
      </m:oMath>
      <w:r w:rsidRPr="009960CD">
        <w:rPr>
          <w:lang w:val="en-US"/>
        </w:rPr>
        <w:t xml:space="preserve">  and </w:t>
      </w:r>
      <m:oMath>
        <m:r>
          <w:rPr>
            <w:rFonts w:ascii="Cambria Math" w:hAnsi="Cambria Math"/>
            <w:lang w:val="en-US"/>
          </w:rPr>
          <m:t>1-</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g</m:t>
            </m:r>
          </m:sub>
        </m:sSub>
      </m:oMath>
      <w:r w:rsidRPr="009960CD">
        <w:rPr>
          <w:lang w:val="en-US"/>
        </w:rPr>
        <w:t xml:space="preserve"> are, respectively, the capital and labor shares in the sector producing </w:t>
      </w:r>
      <m:oMath>
        <m:r>
          <w:rPr>
            <w:rFonts w:ascii="Cambria Math" w:hAnsi="Cambria Math"/>
            <w:lang w:val="en-US"/>
          </w:rPr>
          <m:t>g</m:t>
        </m:r>
      </m:oMath>
      <w:r w:rsidRPr="009960CD">
        <w:rPr>
          <w:lang w:val="en-US"/>
        </w:rPr>
        <w:t xml:space="preserve">. </w:t>
      </w:r>
    </w:p>
    <w:p w14:paraId="39CC9AE5" w14:textId="2BFF64D3" w:rsidR="00F06189" w:rsidRPr="009960CD" w:rsidRDefault="00F06189" w:rsidP="003F715F">
      <w:pPr>
        <w:pStyle w:val="10"/>
        <w:rPr>
          <w:lang w:val="en-US"/>
        </w:rPr>
      </w:pPr>
      <w:r w:rsidRPr="009960CD">
        <w:rPr>
          <w:lang w:val="en-US"/>
        </w:rPr>
        <w:t xml:space="preserve">Capital is employed together with labor in the first period with output generated in the second period. </w:t>
      </w:r>
      <w:r w:rsidR="003F715F" w:rsidRPr="009960CD">
        <w:rPr>
          <w:lang w:val="en-US"/>
        </w:rPr>
        <w:t>We assume that l</w:t>
      </w:r>
      <w:r w:rsidRPr="009960CD">
        <w:rPr>
          <w:lang w:val="en-US"/>
        </w:rPr>
        <w:t xml:space="preserve">abor is paid in the second period, at the end of the production process. </w:t>
      </w:r>
    </w:p>
    <w:p w14:paraId="795F1ED3" w14:textId="573023CD" w:rsidR="00F06189" w:rsidRPr="009960CD" w:rsidRDefault="00F06189" w:rsidP="003F715F">
      <w:pPr>
        <w:pStyle w:val="10"/>
        <w:rPr>
          <w:lang w:val="en-US"/>
        </w:rPr>
      </w:pPr>
      <w:r w:rsidRPr="009960CD">
        <w:rPr>
          <w:lang w:val="en-US"/>
        </w:rPr>
        <w:t>Capital (</w:t>
      </w:r>
      <m:oMath>
        <m:r>
          <w:rPr>
            <w:rFonts w:ascii="Cambria Math" w:hAnsi="Cambria Math"/>
            <w:lang w:val="en-US"/>
          </w:rPr>
          <m:t>K</m:t>
        </m:r>
      </m:oMath>
      <w:r w:rsidRPr="009960CD">
        <w:rPr>
          <w:lang w:val="en-US"/>
        </w:rPr>
        <w:t xml:space="preserve">) is a composite good, </w:t>
      </w:r>
      <w:r w:rsidR="003F715F" w:rsidRPr="009960CD">
        <w:rPr>
          <w:lang w:val="en-US"/>
        </w:rPr>
        <w:t xml:space="preserve">produced in the first period as </w:t>
      </w:r>
      <w:r w:rsidRPr="009960CD">
        <w:rPr>
          <w:lang w:val="en-US"/>
        </w:rPr>
        <w:t xml:space="preserve">of a variable mix of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oMath>
      <w:r w:rsidRPr="009960CD">
        <w:rPr>
          <w:lang w:val="en-US"/>
        </w:rPr>
        <w:t xml:space="preserve"> and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oMath>
      <w:r w:rsidRPr="009960CD">
        <w:rPr>
          <w:lang w:val="en-US"/>
        </w:rPr>
        <w:t>, according to:</w:t>
      </w:r>
    </w:p>
    <w:p w14:paraId="512E8A79" w14:textId="0A0E26C4" w:rsidR="00F06189" w:rsidRPr="009960CD" w:rsidRDefault="00F06189" w:rsidP="00D032B8">
      <w:pPr>
        <w:pStyle w:val="10"/>
        <w:rPr>
          <w:lang w:val="en-US" w:bidi="he-IL"/>
        </w:rPr>
      </w:pPr>
      <w:r w:rsidRPr="009960CD">
        <w:rPr>
          <w:iCs/>
          <w:lang w:val="en-US"/>
        </w:rPr>
        <w:t>(</w:t>
      </w:r>
      <w:r w:rsidR="00D032B8" w:rsidRPr="009960CD">
        <w:rPr>
          <w:lang w:val="en-US"/>
        </w:rPr>
        <w:t>5</w:t>
      </w:r>
      <w:r w:rsidRPr="009960CD">
        <w:rPr>
          <w:iCs/>
          <w:lang w:val="en-US"/>
        </w:rPr>
        <w:t>)</w:t>
      </w:r>
      <w:r w:rsidRPr="009960CD" w:rsidDel="00CD0BDD">
        <w:rPr>
          <w:lang w:val="en-US"/>
        </w:rPr>
        <w:t xml:space="preserve"> </w:t>
      </w:r>
      <w:r w:rsidRPr="009960CD">
        <w:rPr>
          <w:lang w:val="en-US"/>
        </w:rPr>
        <w:t xml:space="preserve">     </w:t>
      </w:r>
      <m:oMath>
        <m:r>
          <m:rPr>
            <m:sty m:val="p"/>
          </m:rPr>
          <w:rPr>
            <w:rFonts w:ascii="Cambria Math" w:hAnsi="Cambria Math"/>
            <w:lang w:val="en-US" w:bidi="he-IL"/>
          </w:rPr>
          <m:t xml:space="preserve">      </m:t>
        </m:r>
        <m:r>
          <w:rPr>
            <w:rFonts w:ascii="Cambria Math" w:hAnsi="Cambria Math"/>
            <w:lang w:val="en-US" w:bidi="he-IL"/>
          </w:rPr>
          <m:t xml:space="preserve">K= </m:t>
        </m:r>
        <m:sSup>
          <m:sSupPr>
            <m:ctrlPr>
              <w:rPr>
                <w:rFonts w:ascii="Cambria Math" w:hAnsi="Cambria Math"/>
                <w:i/>
                <w:lang w:val="en-US" w:bidi="he-IL"/>
              </w:rPr>
            </m:ctrlPr>
          </m:sSup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e>
          <m:sup>
            <m:r>
              <w:rPr>
                <w:rFonts w:ascii="Cambria Math" w:hAnsi="Cambria Math"/>
                <w:lang w:val="en-US" w:bidi="he-IL"/>
              </w:rPr>
              <m:t>β</m:t>
            </m:r>
          </m:sup>
        </m:sSup>
        <m:sSup>
          <m:sSupPr>
            <m:ctrlPr>
              <w:rPr>
                <w:rFonts w:ascii="Cambria Math" w:hAnsi="Cambria Math"/>
                <w:i/>
                <w:lang w:val="en-US" w:bidi="he-IL"/>
              </w:rPr>
            </m:ctrlPr>
          </m:sSup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e>
          <m:sup>
            <m:r>
              <w:rPr>
                <w:rFonts w:ascii="Cambria Math" w:hAnsi="Cambria Math"/>
                <w:lang w:val="en-US" w:bidi="he-IL"/>
              </w:rPr>
              <m:t>1-β</m:t>
            </m:r>
          </m:sup>
        </m:sSup>
      </m:oMath>
      <w:r w:rsidRPr="009960CD">
        <w:rPr>
          <w:lang w:val="en-US" w:bidi="he-IL"/>
        </w:rPr>
        <w:t xml:space="preserve"> </w:t>
      </w:r>
      <w:r w:rsidR="00A23EE2">
        <w:rPr>
          <w:lang w:val="en-US" w:bidi="he-IL"/>
        </w:rPr>
        <w:t>, where</w:t>
      </w:r>
      <w:r w:rsidR="003F715F" w:rsidRPr="009960CD">
        <w:rPr>
          <w:lang w:val="en-US" w:bidi="he-IL"/>
        </w:rPr>
        <w:t xml:space="preserve"> </w:t>
      </w:r>
      <w:r w:rsidRPr="009960CD">
        <w:rPr>
          <w:lang w:val="en-US" w:bidi="he-IL"/>
        </w:rPr>
        <w:t xml:space="preserve"> 0 &lt; β &lt;1.</w:t>
      </w:r>
    </w:p>
    <w:p w14:paraId="01832DAF" w14:textId="3F7FF337" w:rsidR="00F06189" w:rsidRPr="009960CD" w:rsidRDefault="00F06189" w:rsidP="003A1760">
      <w:pPr>
        <w:pStyle w:val="10"/>
        <w:rPr>
          <w:lang w:val="en-US" w:bidi="he-IL"/>
        </w:rPr>
      </w:pPr>
      <w:r w:rsidRPr="009960CD">
        <w:rPr>
          <w:lang w:val="en-US" w:bidi="he-IL"/>
        </w:rPr>
        <w:t xml:space="preserve">To find the </w:t>
      </w:r>
      <w:r w:rsidR="00450B31" w:rsidRPr="009960CD">
        <w:rPr>
          <w:lang w:val="en-US" w:bidi="he-IL"/>
        </w:rPr>
        <w:t>cost minimizing</w:t>
      </w:r>
      <w:r w:rsidRPr="009960CD">
        <w:rPr>
          <w:lang w:val="en-US" w:bidi="he-IL"/>
        </w:rPr>
        <w:t xml:space="preserve"> mix of x and y, of which a unit of capital (K) is composed of, </w:t>
      </w:r>
      <w:r w:rsidR="00FD01CD" w:rsidRPr="009960CD">
        <w:rPr>
          <w:lang w:val="en-US" w:bidi="he-IL"/>
        </w:rPr>
        <w:t>one,</w:t>
      </w:r>
      <w:r w:rsidR="006205C2" w:rsidRPr="009960CD">
        <w:rPr>
          <w:lang w:val="en-US" w:bidi="he-IL"/>
        </w:rPr>
        <w:t xml:space="preserve"> </w:t>
      </w:r>
      <w:r w:rsidRPr="009960CD">
        <w:rPr>
          <w:lang w:val="en-US" w:bidi="he-IL"/>
        </w:rPr>
        <w:t>has to solve the following problem:</w:t>
      </w:r>
    </w:p>
    <w:p w14:paraId="28A4B909" w14:textId="1D98E687" w:rsidR="00F0296D" w:rsidRPr="009960CD" w:rsidRDefault="00F06189" w:rsidP="003E065D">
      <w:pPr>
        <w:pStyle w:val="10"/>
        <w:rPr>
          <w:lang w:val="en-US" w:bidi="he-IL"/>
        </w:rPr>
      </w:pPr>
      <w:r w:rsidRPr="009960CD">
        <w:rPr>
          <w:lang w:val="en-US" w:bidi="he-IL"/>
        </w:rPr>
        <w:lastRenderedPageBreak/>
        <w:t xml:space="preserve">                                                                          </w:t>
      </w:r>
      <m:oMath>
        <m:func>
          <m:funcPr>
            <m:ctrlPr>
              <w:rPr>
                <w:rFonts w:ascii="Cambria Math" w:hAnsi="Cambria Math"/>
                <w:i/>
                <w:lang w:val="en-US" w:bidi="he-IL"/>
              </w:rPr>
            </m:ctrlPr>
          </m:funcPr>
          <m:fName>
            <m:limLow>
              <m:limLowPr>
                <m:ctrlPr>
                  <w:rPr>
                    <w:rFonts w:ascii="Cambria Math" w:hAnsi="Cambria Math"/>
                    <w:i/>
                    <w:lang w:val="en-US" w:bidi="he-IL"/>
                  </w:rPr>
                </m:ctrlPr>
              </m:limLowPr>
              <m:e>
                <m:r>
                  <m:rPr>
                    <m:sty m:val="p"/>
                  </m:rPr>
                  <w:rPr>
                    <w:rFonts w:ascii="Cambria Math" w:hAnsi="Cambria Math"/>
                    <w:lang w:val="en-US" w:bidi="he-IL"/>
                  </w:rPr>
                  <m:t>min</m:t>
                </m:r>
              </m:e>
              <m:lim>
                <m:r>
                  <w:rPr>
                    <w:rFonts w:ascii="Cambria Math" w:hAnsi="Cambria Math"/>
                    <w:lang w:val="en-US" w:bidi="he-IL"/>
                  </w:rPr>
                  <m:t>(x,y)</m:t>
                </m:r>
              </m:lim>
            </m:limLow>
          </m:fName>
          <m:e>
            <m:r>
              <w:rPr>
                <w:rFonts w:ascii="Cambria Math" w:hAnsi="Cambria Math"/>
                <w:lang w:val="en-US" w:bidi="he-IL"/>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bidi="he-IL"/>
              </w:rPr>
              <m:t>+</m:t>
            </m:r>
            <m:sSub>
              <m:sSubPr>
                <m:ctrlPr>
                  <w:rPr>
                    <w:rFonts w:ascii="Cambria Math" w:hAnsi="Cambria Math"/>
                    <w:i/>
                    <w:lang w:val="en-US" w:bidi="he-IL"/>
                  </w:rPr>
                </m:ctrlPr>
              </m:sSubPr>
              <m:e>
                <m:r>
                  <w:rPr>
                    <w:rFonts w:ascii="Cambria Math" w:hAnsi="Cambria Math"/>
                    <w:lang w:val="en-US" w:bidi="he-IL"/>
                  </w:rPr>
                  <m:t>p</m:t>
                </m:r>
              </m:e>
              <m:sub>
                <m:r>
                  <w:rPr>
                    <w:rFonts w:ascii="Cambria Math" w:hAnsi="Cambria Math"/>
                    <w:lang w:val="en-US" w:bidi="he-IL"/>
                  </w:rPr>
                  <m:t>1</m:t>
                </m:r>
              </m:sub>
            </m:sSub>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r>
              <w:rPr>
                <w:rFonts w:ascii="Cambria Math" w:hAnsi="Cambria Math"/>
                <w:lang w:val="en-US" w:bidi="he-IL"/>
              </w:rPr>
              <m:t xml:space="preserve"> )   </m:t>
            </m:r>
          </m:e>
        </m:func>
      </m:oMath>
      <w:r w:rsidRPr="009960CD">
        <w:rPr>
          <w:lang w:val="en-US" w:bidi="he-IL"/>
        </w:rPr>
        <w:t xml:space="preserve">                      </w:t>
      </w:r>
    </w:p>
    <w:p w14:paraId="6941ADFB" w14:textId="5344CD08" w:rsidR="00F0296D" w:rsidRPr="009960CD" w:rsidRDefault="00F0296D" w:rsidP="00F0296D">
      <w:pPr>
        <w:pStyle w:val="10"/>
        <w:rPr>
          <w:lang w:val="en-US" w:bidi="he-IL"/>
        </w:rPr>
      </w:pPr>
      <w:r w:rsidRPr="009960CD">
        <w:rPr>
          <w:lang w:val="en-US" w:bidi="he-IL"/>
        </w:rPr>
        <w:t xml:space="preserve">                                                                          subject to:</w:t>
      </w:r>
    </w:p>
    <w:p w14:paraId="207C515E" w14:textId="26C6A3E8" w:rsidR="00F06189" w:rsidRPr="009960CD" w:rsidRDefault="00F0296D" w:rsidP="003E065D">
      <w:pPr>
        <w:pStyle w:val="10"/>
        <w:rPr>
          <w:lang w:val="en-US" w:bidi="he-IL"/>
        </w:rPr>
      </w:pPr>
      <w:r w:rsidRPr="009960CD">
        <w:rPr>
          <w:lang w:val="en-US" w:bidi="he-IL"/>
        </w:rPr>
        <w:t xml:space="preserve">                                                                   </w:t>
      </w:r>
      <w:r w:rsidR="00F06189" w:rsidRPr="009960CD">
        <w:rPr>
          <w:lang w:val="en-US" w:bidi="he-IL"/>
        </w:rPr>
        <w:t xml:space="preserve">   </w:t>
      </w:r>
      <m:oMath>
        <m:r>
          <w:rPr>
            <w:rFonts w:ascii="Cambria Math" w:hAnsi="Cambria Math"/>
            <w:lang w:val="en-US" w:bidi="he-IL"/>
          </w:rPr>
          <m:t xml:space="preserve">   </m:t>
        </m:r>
        <m:sSup>
          <m:sSupPr>
            <m:ctrlPr>
              <w:rPr>
                <w:rFonts w:ascii="Cambria Math" w:hAnsi="Cambria Math"/>
                <w:i/>
                <w:lang w:val="en-US" w:bidi="he-IL"/>
              </w:rPr>
            </m:ctrlPr>
          </m:sSup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e>
          <m:sup>
            <m:r>
              <w:rPr>
                <w:rFonts w:ascii="Cambria Math" w:hAnsi="Cambria Math"/>
                <w:lang w:val="en-US" w:bidi="he-IL"/>
              </w:rPr>
              <m:t>β</m:t>
            </m:r>
          </m:sup>
        </m:sSup>
        <m:sSup>
          <m:sSupPr>
            <m:ctrlPr>
              <w:rPr>
                <w:rFonts w:ascii="Cambria Math" w:hAnsi="Cambria Math"/>
                <w:i/>
                <w:lang w:val="en-US" w:bidi="he-IL"/>
              </w:rPr>
            </m:ctrlPr>
          </m:sSup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k</m:t>
                </m:r>
              </m:sub>
            </m:sSub>
          </m:e>
          <m:sup>
            <m:r>
              <w:rPr>
                <w:rFonts w:ascii="Cambria Math" w:hAnsi="Cambria Math"/>
                <w:lang w:val="en-US" w:bidi="he-IL"/>
              </w:rPr>
              <m:t>1-β</m:t>
            </m:r>
          </m:sup>
        </m:sSup>
        <m:r>
          <w:rPr>
            <w:rFonts w:ascii="Cambria Math" w:hAnsi="Cambria Math"/>
            <w:lang w:val="en-US" w:bidi="he-IL"/>
          </w:rPr>
          <m:t>≥1</m:t>
        </m:r>
      </m:oMath>
      <w:r w:rsidR="00F06189" w:rsidRPr="009960CD">
        <w:rPr>
          <w:lang w:val="en-US" w:bidi="he-IL"/>
        </w:rPr>
        <w:t xml:space="preserve"> </w:t>
      </w:r>
      <w:r w:rsidRPr="009960CD">
        <w:rPr>
          <w:lang w:val="en-US" w:bidi="he-IL"/>
        </w:rPr>
        <w:t>,</w:t>
      </w:r>
      <w:r w:rsidR="00F06189" w:rsidRPr="009960CD">
        <w:rPr>
          <w:lang w:val="en-US" w:bidi="he-IL"/>
        </w:rPr>
        <w:t xml:space="preserve">                                           </w:t>
      </w:r>
    </w:p>
    <w:p w14:paraId="5C4A3EDE" w14:textId="77777777" w:rsidR="00F06189" w:rsidRPr="009960CD" w:rsidRDefault="00F06189" w:rsidP="00F06189">
      <w:pPr>
        <w:pStyle w:val="10"/>
        <w:rPr>
          <w:lang w:val="en-US" w:bidi="he-IL"/>
        </w:rPr>
      </w:pPr>
      <w:r w:rsidRPr="009960CD">
        <w:rPr>
          <w:lang w:val="en-US" w:bidi="he-IL"/>
        </w:rPr>
        <w:t xml:space="preserve">where </w:t>
      </w:r>
      <m:oMath>
        <m:sSub>
          <m:sSubPr>
            <m:ctrlPr>
              <w:rPr>
                <w:rFonts w:ascii="Cambria Math" w:hAnsi="Cambria Math"/>
                <w:i/>
                <w:lang w:val="en-US" w:bidi="he-IL"/>
              </w:rPr>
            </m:ctrlPr>
          </m:sSubPr>
          <m:e>
            <m:r>
              <w:rPr>
                <w:rFonts w:ascii="Cambria Math" w:hAnsi="Cambria Math"/>
                <w:lang w:val="en-US" w:bidi="he-IL"/>
              </w:rPr>
              <m:t>p</m:t>
            </m:r>
          </m:e>
          <m:sub>
            <m:r>
              <w:rPr>
                <w:rFonts w:ascii="Cambria Math" w:hAnsi="Cambria Math"/>
                <w:lang w:val="en-US" w:bidi="he-IL"/>
              </w:rPr>
              <m:t>t</m:t>
            </m:r>
          </m:sub>
        </m:sSub>
      </m:oMath>
      <w:r w:rsidRPr="009960CD">
        <w:rPr>
          <w:lang w:val="en-US" w:bidi="he-IL"/>
        </w:rPr>
        <w:t xml:space="preserve"> is the domestic price of </w:t>
      </w:r>
      <m:oMath>
        <m:r>
          <w:rPr>
            <w:rFonts w:ascii="Cambria Math" w:hAnsi="Cambria Math"/>
            <w:lang w:val="en-US" w:bidi="he-IL"/>
          </w:rPr>
          <m:t>y</m:t>
        </m:r>
      </m:oMath>
      <w:r w:rsidRPr="009960CD">
        <w:rPr>
          <w:lang w:val="en-US" w:bidi="he-IL"/>
        </w:rPr>
        <w:t xml:space="preserve"> in period </w:t>
      </w:r>
      <m:oMath>
        <m:r>
          <w:rPr>
            <w:rFonts w:ascii="Cambria Math" w:hAnsi="Cambria Math"/>
            <w:lang w:val="en-US" w:bidi="he-IL"/>
          </w:rPr>
          <m:t>t=1,2</m:t>
        </m:r>
      </m:oMath>
      <w:r w:rsidRPr="009960CD">
        <w:rPr>
          <w:lang w:val="en-US" w:bidi="he-IL"/>
        </w:rPr>
        <w:t>.</w:t>
      </w:r>
    </w:p>
    <w:p w14:paraId="275AA713" w14:textId="77777777" w:rsidR="00F06189" w:rsidRPr="009960CD" w:rsidRDefault="00F06189" w:rsidP="00F06189">
      <w:pPr>
        <w:pStyle w:val="10"/>
        <w:rPr>
          <w:lang w:val="en-US" w:bidi="he-IL"/>
        </w:rPr>
      </w:pPr>
      <w:r w:rsidRPr="009960CD">
        <w:rPr>
          <w:lang w:val="en-US" w:bidi="he-IL"/>
        </w:rPr>
        <w:t xml:space="preserve">Solving this problem yields also the unit price </w:t>
      </w:r>
      <m:oMath>
        <m:sSub>
          <m:sSubPr>
            <m:ctrlPr>
              <w:rPr>
                <w:rFonts w:ascii="Cambria Math" w:hAnsi="Cambria Math"/>
                <w:i/>
                <w:lang w:val="en-US" w:bidi="he-IL"/>
              </w:rPr>
            </m:ctrlPr>
          </m:sSubPr>
          <m:e>
            <m:r>
              <w:rPr>
                <w:rFonts w:ascii="Cambria Math" w:hAnsi="Cambria Math"/>
                <w:lang w:val="en-US" w:bidi="he-IL"/>
              </w:rPr>
              <m:t>p</m:t>
            </m:r>
          </m:e>
          <m:sub>
            <m:r>
              <w:rPr>
                <w:rFonts w:ascii="Cambria Math" w:hAnsi="Cambria Math"/>
                <w:lang w:val="en-US" w:bidi="he-IL"/>
              </w:rPr>
              <m:t>k</m:t>
            </m:r>
          </m:sub>
        </m:sSub>
      </m:oMath>
      <w:r w:rsidRPr="009960CD">
        <w:rPr>
          <w:lang w:val="en-US" w:bidi="he-IL"/>
        </w:rPr>
        <w:t xml:space="preserve"> of capital as</w:t>
      </w:r>
    </w:p>
    <w:p w14:paraId="5BC84C95" w14:textId="7AECB965" w:rsidR="00F06189" w:rsidRPr="009960CD" w:rsidRDefault="00F06189" w:rsidP="00D032B8">
      <w:pPr>
        <w:pStyle w:val="10"/>
        <w:rPr>
          <w:lang w:val="en-US" w:bidi="he-IL"/>
        </w:rPr>
      </w:pPr>
      <w:r w:rsidRPr="009960CD">
        <w:rPr>
          <w:iCs/>
          <w:lang w:val="en-US"/>
        </w:rPr>
        <w:t>(</w:t>
      </w:r>
      <w:r w:rsidR="00D032B8" w:rsidRPr="009960CD">
        <w:rPr>
          <w:lang w:val="en-US"/>
        </w:rPr>
        <w:t>6</w:t>
      </w:r>
      <w:r w:rsidRPr="009960CD">
        <w:rPr>
          <w:iCs/>
          <w:lang w:val="en-US"/>
        </w:rPr>
        <w:t>)</w:t>
      </w:r>
      <w:r w:rsidRPr="009960CD" w:rsidDel="00CD0BDD">
        <w:rPr>
          <w:lang w:val="en-US" w:bidi="he-IL"/>
        </w:rPr>
        <w:t xml:space="preserve"> </w:t>
      </w:r>
      <w:r w:rsidRPr="009960CD">
        <w:rPr>
          <w:lang w:val="en-US" w:bidi="he-IL"/>
        </w:rPr>
        <w:t xml:space="preserve">        </w:t>
      </w:r>
      <m:oMath>
        <m:sSub>
          <m:sSubPr>
            <m:ctrlPr>
              <w:rPr>
                <w:rFonts w:ascii="Cambria Math" w:hAnsi="Cambria Math"/>
                <w:i/>
                <w:lang w:val="en-US" w:bidi="he-IL"/>
              </w:rPr>
            </m:ctrlPr>
          </m:sSubPr>
          <m:e>
            <m:r>
              <w:rPr>
                <w:rFonts w:ascii="Cambria Math" w:hAnsi="Cambria Math"/>
                <w:lang w:val="en-US" w:bidi="he-IL"/>
              </w:rPr>
              <m:t>p</m:t>
            </m:r>
          </m:e>
          <m:sub>
            <m:r>
              <w:rPr>
                <w:rFonts w:ascii="Cambria Math" w:hAnsi="Cambria Math"/>
                <w:lang w:val="en-US" w:bidi="he-IL"/>
              </w:rPr>
              <m:t>k</m:t>
            </m:r>
          </m:sub>
        </m:sSub>
        <m:r>
          <w:rPr>
            <w:rFonts w:ascii="Cambria Math" w:hAnsi="Cambria Math"/>
            <w:lang w:val="en-US" w:bidi="he-IL"/>
          </w:rPr>
          <m:t xml:space="preserve"> =D</m:t>
        </m:r>
        <m:sSubSup>
          <m:sSubSupPr>
            <m:ctrlPr>
              <w:rPr>
                <w:rFonts w:ascii="Cambria Math" w:hAnsi="Cambria Math"/>
                <w:i/>
                <w:lang w:val="en-US" w:bidi="he-IL"/>
              </w:rPr>
            </m:ctrlPr>
          </m:sSubSupPr>
          <m:e>
            <m:r>
              <w:rPr>
                <w:rFonts w:ascii="Cambria Math" w:hAnsi="Cambria Math"/>
                <w:lang w:val="en-US" w:bidi="he-IL"/>
              </w:rPr>
              <m:t>p</m:t>
            </m:r>
          </m:e>
          <m:sub>
            <m:r>
              <w:rPr>
                <w:rFonts w:ascii="Cambria Math" w:hAnsi="Cambria Math"/>
                <w:lang w:val="en-US" w:bidi="he-IL"/>
              </w:rPr>
              <m:t>1</m:t>
            </m:r>
          </m:sub>
          <m:sup>
            <m:r>
              <w:rPr>
                <w:rFonts w:ascii="Cambria Math" w:hAnsi="Cambria Math"/>
                <w:lang w:val="en-US" w:bidi="he-IL"/>
              </w:rPr>
              <m:t>1-β</m:t>
            </m:r>
          </m:sup>
        </m:sSubSup>
      </m:oMath>
      <w:r w:rsidRPr="009960CD">
        <w:rPr>
          <w:lang w:val="en-US" w:bidi="he-IL"/>
        </w:rPr>
        <w:t>,</w:t>
      </w:r>
    </w:p>
    <w:p w14:paraId="2E2ED150" w14:textId="77777777" w:rsidR="00F06189" w:rsidRPr="009960CD" w:rsidRDefault="00F06189" w:rsidP="00F06189">
      <w:pPr>
        <w:pStyle w:val="10"/>
        <w:rPr>
          <w:lang w:val="en-US" w:bidi="he-IL"/>
        </w:rPr>
      </w:pPr>
      <w:r w:rsidRPr="009960CD">
        <w:rPr>
          <w:lang w:val="en-US" w:bidi="he-IL"/>
        </w:rPr>
        <w:t>where</w:t>
      </w:r>
      <m:oMath>
        <m:r>
          <w:rPr>
            <w:rFonts w:ascii="Cambria Math" w:hAnsi="Cambria Math"/>
            <w:lang w:val="en-US" w:bidi="he-IL"/>
          </w:rPr>
          <m:t xml:space="preserve"> D=(</m:t>
        </m:r>
        <m:f>
          <m:fPr>
            <m:ctrlPr>
              <w:rPr>
                <w:rFonts w:ascii="Cambria Math" w:hAnsi="Cambria Math"/>
                <w:i/>
                <w:lang w:val="en-US" w:bidi="he-IL"/>
              </w:rPr>
            </m:ctrlPr>
          </m:fPr>
          <m:num>
            <m:r>
              <w:rPr>
                <w:rFonts w:ascii="Cambria Math" w:hAnsi="Cambria Math"/>
                <w:lang w:val="en-US" w:bidi="he-IL"/>
              </w:rPr>
              <m:t>1-β</m:t>
            </m:r>
          </m:num>
          <m:den>
            <m:r>
              <w:rPr>
                <w:rFonts w:ascii="Cambria Math" w:hAnsi="Cambria Math"/>
                <w:lang w:val="en-US" w:bidi="he-IL"/>
              </w:rPr>
              <m:t>β</m:t>
            </m:r>
          </m:den>
        </m:f>
        <m:sSup>
          <m:sSupPr>
            <m:ctrlPr>
              <w:rPr>
                <w:rFonts w:ascii="Cambria Math" w:hAnsi="Cambria Math"/>
                <w:i/>
                <w:lang w:val="en-US" w:bidi="he-IL"/>
              </w:rPr>
            </m:ctrlPr>
          </m:sSupPr>
          <m:e>
            <m:r>
              <w:rPr>
                <w:rFonts w:ascii="Cambria Math" w:hAnsi="Cambria Math"/>
                <w:lang w:val="en-US" w:bidi="he-IL"/>
              </w:rPr>
              <m:t>)</m:t>
            </m:r>
          </m:e>
          <m:sup>
            <m:r>
              <w:rPr>
                <w:rFonts w:ascii="Cambria Math" w:hAnsi="Cambria Math"/>
                <w:lang w:val="en-US" w:bidi="he-IL"/>
              </w:rPr>
              <m:t>β</m:t>
            </m:r>
          </m:sup>
        </m:sSup>
        <m:r>
          <w:rPr>
            <w:rFonts w:ascii="Cambria Math" w:hAnsi="Cambria Math"/>
            <w:lang w:val="en-US" w:bidi="he-IL"/>
          </w:rPr>
          <m:t>+  (</m:t>
        </m:r>
        <m:f>
          <m:fPr>
            <m:ctrlPr>
              <w:rPr>
                <w:rFonts w:ascii="Cambria Math" w:hAnsi="Cambria Math"/>
                <w:i/>
                <w:lang w:val="en-US" w:bidi="he-IL"/>
              </w:rPr>
            </m:ctrlPr>
          </m:fPr>
          <m:num>
            <m:r>
              <w:rPr>
                <w:rFonts w:ascii="Cambria Math" w:hAnsi="Cambria Math"/>
                <w:lang w:val="en-US" w:bidi="he-IL"/>
              </w:rPr>
              <m:t>β</m:t>
            </m:r>
          </m:num>
          <m:den>
            <m:r>
              <w:rPr>
                <w:rFonts w:ascii="Cambria Math" w:hAnsi="Cambria Math"/>
                <w:lang w:val="en-US" w:bidi="he-IL"/>
              </w:rPr>
              <m:t>1-β</m:t>
            </m:r>
          </m:den>
        </m:f>
        <m:sSup>
          <m:sSupPr>
            <m:ctrlPr>
              <w:rPr>
                <w:rFonts w:ascii="Cambria Math" w:hAnsi="Cambria Math"/>
                <w:i/>
                <w:lang w:val="en-US" w:bidi="he-IL"/>
              </w:rPr>
            </m:ctrlPr>
          </m:sSupPr>
          <m:e>
            <m:r>
              <w:rPr>
                <w:rFonts w:ascii="Cambria Math" w:hAnsi="Cambria Math"/>
                <w:lang w:val="en-US" w:bidi="he-IL"/>
              </w:rPr>
              <m:t>)</m:t>
            </m:r>
          </m:e>
          <m:sup>
            <m:r>
              <w:rPr>
                <w:rFonts w:ascii="Cambria Math" w:hAnsi="Cambria Math"/>
                <w:lang w:val="en-US" w:bidi="he-IL"/>
              </w:rPr>
              <m:t>1-β</m:t>
            </m:r>
          </m:sup>
        </m:sSup>
      </m:oMath>
      <w:r w:rsidRPr="009960CD">
        <w:rPr>
          <w:lang w:val="en-US" w:bidi="he-IL"/>
        </w:rPr>
        <w:t>.</w:t>
      </w:r>
    </w:p>
    <w:p w14:paraId="5520B417" w14:textId="77777777" w:rsidR="00F06189" w:rsidRPr="009960CD" w:rsidRDefault="00F06189" w:rsidP="00F06189">
      <w:pPr>
        <w:pStyle w:val="10"/>
        <w:rPr>
          <w:lang w:val="en-US" w:bidi="he-IL"/>
        </w:rPr>
      </w:pPr>
      <w:r w:rsidRPr="009960CD">
        <w:rPr>
          <w:lang w:val="en-US" w:bidi="he-IL"/>
        </w:rPr>
        <w:t>The labor supply in efficiency units (</w:t>
      </w:r>
      <m:oMath>
        <m:sSup>
          <m:sSupPr>
            <m:ctrlPr>
              <w:rPr>
                <w:rFonts w:ascii="Cambria Math" w:hAnsi="Cambria Math"/>
                <w:i/>
                <w:lang w:val="en-US" w:bidi="he-IL"/>
              </w:rPr>
            </m:ctrlPr>
          </m:sSupPr>
          <m:e>
            <m:r>
              <w:rPr>
                <w:rFonts w:ascii="Cambria Math" w:hAnsi="Cambria Math"/>
                <w:lang w:val="en-US" w:bidi="he-IL"/>
              </w:rPr>
              <m:t>L</m:t>
            </m:r>
          </m:e>
          <m:sup>
            <m:r>
              <w:rPr>
                <w:rFonts w:ascii="Cambria Math" w:hAnsi="Cambria Math"/>
                <w:lang w:val="en-US" w:bidi="he-IL"/>
              </w:rPr>
              <m:t>S</m:t>
            </m:r>
          </m:sup>
        </m:sSup>
        <m:r>
          <w:rPr>
            <w:rFonts w:ascii="Cambria Math" w:hAnsi="Cambria Math"/>
            <w:lang w:val="en-US" w:bidi="he-IL"/>
          </w:rPr>
          <m:t>)</m:t>
        </m:r>
      </m:oMath>
      <w:r w:rsidRPr="009960CD">
        <w:rPr>
          <w:lang w:val="en-US" w:bidi="he-IL"/>
        </w:rPr>
        <w:t xml:space="preserve"> is given by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F06189" w:rsidRPr="009960CD" w14:paraId="70B4AC6D" w14:textId="77777777" w:rsidTr="00DA4C08">
        <w:trPr>
          <w:trHeight w:val="737"/>
        </w:trPr>
        <w:tc>
          <w:tcPr>
            <w:tcW w:w="846" w:type="dxa"/>
            <w:vAlign w:val="center"/>
          </w:tcPr>
          <w:p w14:paraId="62A9C1E0" w14:textId="6D762582" w:rsidR="00F06189" w:rsidRPr="009960CD" w:rsidRDefault="00F06189" w:rsidP="00D032B8">
            <w:pPr>
              <w:pStyle w:val="10"/>
              <w:spacing w:after="0"/>
              <w:jc w:val="left"/>
              <w:rPr>
                <w:lang w:val="en-US" w:bidi="he-IL"/>
              </w:rPr>
            </w:pPr>
            <w:bookmarkStart w:id="1" w:name="_Hlk5700260"/>
            <w:r w:rsidRPr="009960CD">
              <w:rPr>
                <w:iCs/>
                <w:lang w:val="en-US"/>
              </w:rPr>
              <w:t>(</w:t>
            </w:r>
            <w:r w:rsidR="00D032B8" w:rsidRPr="009960CD">
              <w:rPr>
                <w:noProof/>
                <w:lang w:val="en-US"/>
              </w:rPr>
              <w:t>7</w:t>
            </w:r>
            <w:r w:rsidRPr="009960CD">
              <w:rPr>
                <w:iCs/>
                <w:lang w:val="en-US"/>
              </w:rPr>
              <w:t>)</w:t>
            </w:r>
          </w:p>
        </w:tc>
        <w:tc>
          <w:tcPr>
            <w:tcW w:w="7796" w:type="dxa"/>
            <w:vAlign w:val="center"/>
          </w:tcPr>
          <w:p w14:paraId="257FA151" w14:textId="79E5D843" w:rsidR="00F06189" w:rsidRPr="009960CD" w:rsidRDefault="0067442C" w:rsidP="00DA4C08">
            <w:pPr>
              <w:pStyle w:val="10"/>
              <w:spacing w:after="0"/>
              <w:jc w:val="center"/>
              <w:rPr>
                <w:lang w:val="en-US"/>
              </w:rPr>
            </w:pPr>
            <m:oMath>
              <m:sSup>
                <m:sSupPr>
                  <m:ctrlPr>
                    <w:rPr>
                      <w:rFonts w:ascii="Cambria Math" w:hAnsi="Cambria Math"/>
                      <w:i/>
                      <w:lang w:val="en-US" w:bidi="he-IL"/>
                    </w:rPr>
                  </m:ctrlPr>
                </m:sSupPr>
                <m:e>
                  <m:r>
                    <w:rPr>
                      <w:rFonts w:ascii="Cambria Math" w:hAnsi="Cambria Math"/>
                      <w:lang w:val="en-US" w:bidi="he-IL"/>
                    </w:rPr>
                    <m:t>L</m:t>
                  </m:r>
                </m:e>
                <m:sup>
                  <m:r>
                    <w:rPr>
                      <w:rFonts w:ascii="Cambria Math" w:hAnsi="Cambria Math"/>
                      <w:lang w:val="en-US" w:bidi="he-IL"/>
                    </w:rPr>
                    <m:t>S</m:t>
                  </m:r>
                </m:sup>
              </m:sSup>
              <m:r>
                <w:rPr>
                  <w:rFonts w:ascii="Cambria Math" w:hAnsi="Cambria Math"/>
                  <w:lang w:val="en-US" w:bidi="he-IL"/>
                </w:rPr>
                <m:t>=</m:t>
              </m:r>
              <m:r>
                <w:rPr>
                  <w:rFonts w:ascii="Cambria Math" w:hAnsi="Cambria Math"/>
                  <w:lang w:val="en-US"/>
                </w:rPr>
                <m:t xml:space="preserve">  </m:t>
              </m:r>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r>
                    <w:rPr>
                      <w:rFonts w:ascii="Cambria Math" w:hAnsi="Cambria Math"/>
                      <w:lang w:val="en-US"/>
                    </w:rPr>
                    <m:t xml:space="preserve"> </m:t>
                  </m:r>
                </m:e>
              </m:d>
              <m:sSub>
                <m:sSubPr>
                  <m:ctrlPr>
                    <w:rPr>
                      <w:rFonts w:ascii="Cambria Math" w:hAnsi="Cambria Math"/>
                      <w:i/>
                      <w:lang w:val="en-US"/>
                    </w:rPr>
                  </m:ctrlPr>
                </m:sSubPr>
                <m:e>
                  <m:r>
                    <w:rPr>
                      <w:rFonts w:ascii="Cambria Math" w:hAnsi="Cambria Math"/>
                      <w:lang w:val="en-US"/>
                    </w:rPr>
                    <m:t>ρ</m:t>
                  </m:r>
                </m:e>
                <m:sub/>
              </m:sSub>
            </m:oMath>
            <w:r w:rsidR="00F06189" w:rsidRPr="009960CD">
              <w:rPr>
                <w:lang w:val="en-US"/>
              </w:rPr>
              <w:t xml:space="preserve"> </w:t>
            </w:r>
            <m:oMath>
              <m:r>
                <w:rPr>
                  <w:rFonts w:ascii="Cambria Math" w:hAnsi="Cambria Math"/>
                  <w:lang w:val="en-US"/>
                </w:rPr>
                <m:t>.</m:t>
              </m:r>
            </m:oMath>
          </w:p>
        </w:tc>
        <w:tc>
          <w:tcPr>
            <w:tcW w:w="708" w:type="dxa"/>
            <w:vAlign w:val="center"/>
          </w:tcPr>
          <w:p w14:paraId="2C5C6C54" w14:textId="77777777" w:rsidR="00F06189" w:rsidRPr="009960CD" w:rsidRDefault="00F06189" w:rsidP="00DA4C08">
            <w:pPr>
              <w:pStyle w:val="10"/>
              <w:spacing w:after="0"/>
              <w:jc w:val="center"/>
              <w:rPr>
                <w:lang w:val="en-US" w:bidi="he-IL"/>
              </w:rPr>
            </w:pPr>
          </w:p>
        </w:tc>
      </w:tr>
    </w:tbl>
    <w:bookmarkEnd w:id="1"/>
    <w:p w14:paraId="5E47D099" w14:textId="6C2803A5" w:rsidR="00F06189" w:rsidRPr="009960CD" w:rsidRDefault="00F06189" w:rsidP="006205C2">
      <w:pPr>
        <w:pStyle w:val="10"/>
        <w:rPr>
          <w:lang w:val="en-US"/>
        </w:rPr>
      </w:pPr>
      <w:r w:rsidRPr="009960CD">
        <w:rPr>
          <w:lang w:val="en-US"/>
        </w:rPr>
        <w:t>Demands for labor and capital are given, respectively, by the marginal productivity conditions in both sectors</w:t>
      </w:r>
      <w:r w:rsidR="00F0296D" w:rsidRPr="009960CD">
        <w:rPr>
          <w:lang w:val="en-US"/>
        </w:rPr>
        <w:t>. Note that because labor and capital move freely between the two sectors, then</w:t>
      </w:r>
      <w:r w:rsidR="006205C2" w:rsidRPr="009960CD">
        <w:rPr>
          <w:lang w:val="en-US"/>
        </w:rPr>
        <w:t xml:space="preserve"> </w:t>
      </w:r>
      <w:r w:rsidR="00F0296D" w:rsidRPr="009960CD">
        <w:rPr>
          <w:lang w:val="en-US"/>
        </w:rPr>
        <w:t xml:space="preserve">the factors of production earn the same </w:t>
      </w:r>
      <w:r w:rsidR="00A23EE2" w:rsidRPr="009960CD">
        <w:rPr>
          <w:lang w:val="en-US"/>
        </w:rPr>
        <w:t>remuneration</w:t>
      </w:r>
      <w:r w:rsidR="00F0296D" w:rsidRPr="009960CD">
        <w:rPr>
          <w:lang w:val="en-US"/>
        </w:rPr>
        <w:t xml:space="preserve"> across sectors, that 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F06189" w:rsidRPr="009960CD" w14:paraId="6FBEEC5B" w14:textId="77777777" w:rsidTr="00DA4C08">
        <w:trPr>
          <w:trHeight w:val="737"/>
        </w:trPr>
        <w:tc>
          <w:tcPr>
            <w:tcW w:w="846" w:type="dxa"/>
            <w:vAlign w:val="center"/>
          </w:tcPr>
          <w:p w14:paraId="19109790" w14:textId="0E7C66EC" w:rsidR="00F06189" w:rsidRPr="009960CD" w:rsidRDefault="00F06189" w:rsidP="00D032B8">
            <w:pPr>
              <w:pStyle w:val="10"/>
              <w:spacing w:after="0"/>
              <w:jc w:val="left"/>
              <w:rPr>
                <w:iCs/>
                <w:lang w:val="en-US"/>
              </w:rPr>
            </w:pPr>
            <w:r w:rsidRPr="009960CD">
              <w:rPr>
                <w:iCs/>
                <w:lang w:val="en-US"/>
              </w:rPr>
              <w:t>(</w:t>
            </w:r>
            <w:r w:rsidR="00D032B8" w:rsidRPr="009960CD">
              <w:rPr>
                <w:noProof/>
                <w:lang w:val="en-US"/>
              </w:rPr>
              <w:t>8</w:t>
            </w:r>
            <w:r w:rsidRPr="009960CD">
              <w:rPr>
                <w:iCs/>
                <w:lang w:val="en-US"/>
              </w:rPr>
              <w:t>)</w:t>
            </w:r>
          </w:p>
          <w:p w14:paraId="041A794B" w14:textId="6D815E01" w:rsidR="00F0296D" w:rsidRPr="009960CD" w:rsidRDefault="00F0296D" w:rsidP="00D032B8">
            <w:pPr>
              <w:pStyle w:val="10"/>
              <w:spacing w:after="0"/>
              <w:jc w:val="left"/>
              <w:rPr>
                <w:lang w:val="en-US" w:bidi="he-IL"/>
              </w:rPr>
            </w:pPr>
            <w:r w:rsidRPr="009960CD">
              <w:rPr>
                <w:iCs/>
                <w:lang w:val="en-US"/>
              </w:rPr>
              <w:t>(</w:t>
            </w:r>
            <w:r w:rsidR="00D032B8" w:rsidRPr="009960CD">
              <w:rPr>
                <w:iCs/>
                <w:lang w:val="en-US"/>
              </w:rPr>
              <w:t>9</w:t>
            </w:r>
            <w:r w:rsidRPr="009960CD">
              <w:rPr>
                <w:iCs/>
                <w:lang w:val="en-US"/>
              </w:rPr>
              <w:t xml:space="preserve">)                                                </w:t>
            </w:r>
          </w:p>
        </w:tc>
        <w:tc>
          <w:tcPr>
            <w:tcW w:w="7796" w:type="dxa"/>
            <w:vAlign w:val="center"/>
          </w:tcPr>
          <w:p w14:paraId="55BEF02B" w14:textId="77777777" w:rsidR="00F06189" w:rsidRPr="009960CD" w:rsidRDefault="00F06189" w:rsidP="00F0296D">
            <w:pPr>
              <w:pStyle w:val="10"/>
              <w:spacing w:after="0"/>
              <w:jc w:val="center"/>
              <w:rPr>
                <w:lang w:val="en-US"/>
              </w:rPr>
            </w:pPr>
            <m:oMathPara>
              <m:oMath>
                <m:r>
                  <w:rPr>
                    <w:rFonts w:ascii="Cambria Math" w:hAnsi="Cambria Math"/>
                    <w:lang w:val="en-US"/>
                  </w:rPr>
                  <m:t xml:space="preserve">      w =  </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x</m:t>
                        </m:r>
                      </m:sub>
                    </m:sSub>
                  </m:e>
                </m:d>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x</m:t>
                    </m:r>
                  </m:sub>
                </m:sSub>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x</m:t>
                    </m:r>
                  </m:sub>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x</m:t>
                        </m:r>
                      </m:sub>
                    </m:sSub>
                  </m:sup>
                </m:sSubSup>
                <m:r>
                  <w:rPr>
                    <w:rFonts w:ascii="Cambria Math" w:hAnsi="Cambria Math"/>
                    <w:lang w:val="en-US"/>
                  </w:rPr>
                  <m:t>,</m:t>
                </m:r>
              </m:oMath>
            </m:oMathPara>
          </w:p>
          <w:p w14:paraId="06ABE174" w14:textId="06F97C2E" w:rsidR="00F0296D" w:rsidRPr="009960CD" w:rsidRDefault="00F0296D" w:rsidP="00F0296D">
            <w:pPr>
              <w:pStyle w:val="10"/>
              <w:spacing w:after="0"/>
              <w:jc w:val="center"/>
              <w:rPr>
                <w:lang w:val="en-US"/>
              </w:rPr>
            </w:pPr>
            <w:r w:rsidRPr="009960CD">
              <w:rPr>
                <w:lang w:val="en-US"/>
              </w:rPr>
              <w:t xml:space="preserve">     </w:t>
            </w:r>
            <m:oMath>
              <m:r>
                <w:rPr>
                  <w:rFonts w:ascii="Cambria Math" w:hAnsi="Cambria Math"/>
                  <w:lang w:val="en-US"/>
                </w:rPr>
                <m:t xml:space="preserve">w=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y</m:t>
                      </m:r>
                    </m:sub>
                  </m:sSub>
                </m:e>
              </m:d>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y</m:t>
                  </m:r>
                </m:sub>
              </m:sSub>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y</m:t>
                  </m:r>
                </m:sub>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y</m:t>
                      </m:r>
                    </m:sub>
                  </m:sSub>
                </m:sup>
              </m:sSubSup>
            </m:oMath>
          </w:p>
        </w:tc>
        <w:tc>
          <w:tcPr>
            <w:tcW w:w="708" w:type="dxa"/>
            <w:vAlign w:val="center"/>
          </w:tcPr>
          <w:p w14:paraId="0AF4E341" w14:textId="77777777" w:rsidR="00F06189" w:rsidRPr="009960CD" w:rsidRDefault="00F06189" w:rsidP="00DA4C08">
            <w:pPr>
              <w:pStyle w:val="10"/>
              <w:spacing w:after="0"/>
              <w:jc w:val="center"/>
              <w:rPr>
                <w:lang w:val="en-US" w:bidi="he-IL"/>
              </w:rPr>
            </w:pPr>
          </w:p>
        </w:tc>
      </w:tr>
      <w:tr w:rsidR="00F06189" w:rsidRPr="009960CD" w14:paraId="49076866" w14:textId="77777777" w:rsidTr="00DA4C08">
        <w:trPr>
          <w:trHeight w:val="737"/>
        </w:trPr>
        <w:tc>
          <w:tcPr>
            <w:tcW w:w="846" w:type="dxa"/>
            <w:vAlign w:val="center"/>
          </w:tcPr>
          <w:p w14:paraId="0A7E64A9" w14:textId="1027DF1A" w:rsidR="00F06189" w:rsidRPr="009960CD" w:rsidRDefault="00F06189" w:rsidP="00D032B8">
            <w:pPr>
              <w:pStyle w:val="10"/>
              <w:spacing w:after="0"/>
              <w:jc w:val="left"/>
              <w:rPr>
                <w:lang w:val="en-US" w:bidi="he-IL"/>
              </w:rPr>
            </w:pPr>
            <w:r w:rsidRPr="009960CD">
              <w:rPr>
                <w:iCs/>
                <w:lang w:val="en-US"/>
              </w:rPr>
              <w:t>(</w:t>
            </w:r>
            <w:r w:rsidR="00D032B8" w:rsidRPr="009960CD">
              <w:rPr>
                <w:noProof/>
                <w:lang w:val="en-US"/>
              </w:rPr>
              <w:t>10</w:t>
            </w:r>
            <w:r w:rsidRPr="009960CD">
              <w:rPr>
                <w:iCs/>
                <w:lang w:val="en-US"/>
              </w:rPr>
              <w:t>)</w:t>
            </w:r>
          </w:p>
        </w:tc>
        <w:tc>
          <w:tcPr>
            <w:tcW w:w="7796" w:type="dxa"/>
            <w:vAlign w:val="center"/>
          </w:tcPr>
          <w:p w14:paraId="2DE855C7" w14:textId="14EA4328" w:rsidR="00F06189" w:rsidRPr="009960CD" w:rsidRDefault="0067442C" w:rsidP="00F0296D">
            <w:pPr>
              <w:pStyle w:val="10"/>
              <w:spacing w:after="0"/>
              <w:jc w:val="center"/>
              <w:rPr>
                <w:lang w:val="en-US"/>
              </w:rPr>
            </w:pPr>
            <m:oMath>
              <m:sSub>
                <m:sSubPr>
                  <m:ctrlPr>
                    <w:rPr>
                      <w:rFonts w:ascii="Cambria Math" w:hAnsi="Cambria Math"/>
                      <w:i/>
                      <w:lang w:val="en-US"/>
                    </w:rPr>
                  </m:ctrlPr>
                </m:sSubPr>
                <m:e>
                  <m:r>
                    <w:rPr>
                      <w:rFonts w:ascii="Cambria Math" w:hAnsi="Cambria Math"/>
                      <w:lang w:val="en-US"/>
                    </w:rPr>
                    <m:t xml:space="preserve">p </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1+r</m:t>
                  </m:r>
                </m:e>
              </m:d>
              <m:r>
                <w:rPr>
                  <w:rFonts w:ascii="Cambria Math" w:hAnsi="Cambria Math"/>
                  <w:lang w:val="en-US"/>
                </w:rPr>
                <m:t xml:space="preserve">=  </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x</m:t>
                      </m:r>
                    </m:sub>
                  </m:sSub>
                  <m:r>
                    <w:rPr>
                      <w:rFonts w:ascii="Cambria Math" w:hAnsi="Cambria Math"/>
                      <w:lang w:val="en-US"/>
                    </w:rPr>
                    <m:t>A</m:t>
                  </m:r>
                </m:e>
                <m:sub>
                  <m:r>
                    <w:rPr>
                      <w:rFonts w:ascii="Cambria Math" w:hAnsi="Cambria Math"/>
                      <w:lang w:val="en-US"/>
                    </w:rPr>
                    <m:t>x</m:t>
                  </m:r>
                </m:sub>
              </m:sSub>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x</m:t>
                  </m:r>
                </m:sub>
                <m:sup>
                  <m:r>
                    <w:rPr>
                      <w:rFonts w:ascii="Cambria Math" w:hAnsi="Cambria Math"/>
                      <w:lang w:val="en-US"/>
                    </w:rPr>
                    <m:t>1-</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x</m:t>
                      </m:r>
                    </m:sub>
                  </m:sSub>
                </m:sup>
              </m:sSubSup>
            </m:oMath>
            <w:r w:rsidR="00F06189" w:rsidRPr="009960CD">
              <w:rPr>
                <w:lang w:val="en-US"/>
              </w:rPr>
              <w:t xml:space="preserve">, </w:t>
            </w:r>
          </w:p>
        </w:tc>
        <w:tc>
          <w:tcPr>
            <w:tcW w:w="708" w:type="dxa"/>
            <w:vAlign w:val="center"/>
          </w:tcPr>
          <w:p w14:paraId="452F777A" w14:textId="77777777" w:rsidR="00F06189" w:rsidRPr="009960CD" w:rsidRDefault="00F06189" w:rsidP="00DA4C08">
            <w:pPr>
              <w:pStyle w:val="10"/>
              <w:spacing w:after="0"/>
              <w:jc w:val="center"/>
              <w:rPr>
                <w:lang w:val="en-US" w:bidi="he-IL"/>
              </w:rPr>
            </w:pPr>
          </w:p>
        </w:tc>
      </w:tr>
    </w:tbl>
    <w:p w14:paraId="6868471B" w14:textId="79A6B76E" w:rsidR="00F0296D" w:rsidRPr="009960CD" w:rsidRDefault="00F0296D" w:rsidP="00D032B8">
      <w:pPr>
        <w:pStyle w:val="10"/>
        <w:rPr>
          <w:lang w:val="en-US"/>
        </w:rPr>
      </w:pPr>
      <w:r w:rsidRPr="009960CD">
        <w:rPr>
          <w:lang w:val="en-US"/>
        </w:rPr>
        <w:t xml:space="preserve">  (</w:t>
      </w:r>
      <w:r w:rsidR="00D032B8" w:rsidRPr="009960CD">
        <w:rPr>
          <w:lang w:val="en-US"/>
        </w:rPr>
        <w:t>11</w:t>
      </w:r>
      <w:r w:rsidRPr="009960CD">
        <w:rPr>
          <w:lang w:val="en-US"/>
        </w:rPr>
        <w:t xml:space="preserve">)                                                 </w:t>
      </w:r>
      <m:oMath>
        <m:sSub>
          <m:sSubPr>
            <m:ctrlPr>
              <w:rPr>
                <w:rFonts w:ascii="Cambria Math" w:hAnsi="Cambria Math"/>
                <w:i/>
                <w:lang w:val="en-US"/>
              </w:rPr>
            </m:ctrlPr>
          </m:sSubPr>
          <m:e>
            <m:r>
              <w:rPr>
                <w:rFonts w:ascii="Cambria Math" w:hAnsi="Cambria Math"/>
                <w:lang w:val="en-US"/>
              </w:rPr>
              <m:t xml:space="preserve">p </m:t>
            </m:r>
          </m:e>
          <m:sub>
            <m:r>
              <w:rPr>
                <w:rFonts w:ascii="Cambria Math" w:hAnsi="Cambria Math"/>
                <w:lang w:val="en-US"/>
              </w:rPr>
              <m:t>k</m:t>
            </m:r>
          </m:sub>
        </m:sSub>
        <m:d>
          <m:dPr>
            <m:ctrlPr>
              <w:rPr>
                <w:rFonts w:ascii="Cambria Math" w:hAnsi="Cambria Math"/>
                <w:i/>
                <w:lang w:val="en-US"/>
              </w:rPr>
            </m:ctrlPr>
          </m:dPr>
          <m:e>
            <m:r>
              <w:rPr>
                <w:rFonts w:ascii="Cambria Math" w:hAnsi="Cambria Math"/>
                <w:lang w:val="en-US"/>
              </w:rPr>
              <m:t>1+r</m:t>
            </m:r>
          </m:e>
        </m:d>
        <m:r>
          <w:rPr>
            <w:rFonts w:ascii="Cambria Math" w:hAnsi="Cambria Math"/>
            <w:lang w:val="en-US"/>
          </w:rPr>
          <m:t>=</m:t>
        </m:r>
      </m:oMath>
      <w:r w:rsidRPr="009960CD">
        <w:rPr>
          <w:lang w:val="en-US"/>
        </w:rPr>
        <w:t xml:space="preserve">     </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y</m:t>
                </m:r>
              </m:sub>
            </m:sSub>
            <m:r>
              <w:rPr>
                <w:rFonts w:ascii="Cambria Math" w:hAnsi="Cambria Math"/>
                <w:lang w:val="en-US"/>
              </w:rPr>
              <m:t>A</m:t>
            </m:r>
          </m:e>
          <m:sub>
            <m:r>
              <w:rPr>
                <w:rFonts w:ascii="Cambria Math" w:hAnsi="Cambria Math"/>
                <w:lang w:val="en-US"/>
              </w:rPr>
              <m:t>y</m:t>
            </m:r>
          </m:sub>
        </m:sSub>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y</m:t>
            </m:r>
          </m:sub>
          <m:sup>
            <m:r>
              <w:rPr>
                <w:rFonts w:ascii="Cambria Math" w:hAnsi="Cambria Math"/>
                <w:lang w:val="en-US"/>
              </w:rPr>
              <m:t>1-</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y</m:t>
                </m:r>
              </m:sub>
            </m:sSub>
          </m:sup>
        </m:sSubSup>
      </m:oMath>
      <w:r w:rsidR="00CD500D" w:rsidRPr="009960CD">
        <w:rPr>
          <w:lang w:val="en-US"/>
        </w:rPr>
        <w:t>,</w:t>
      </w:r>
    </w:p>
    <w:p w14:paraId="664BCB87" w14:textId="77777777" w:rsidR="00F0296D" w:rsidRPr="009960CD" w:rsidRDefault="00F0296D" w:rsidP="00F06189">
      <w:pPr>
        <w:pStyle w:val="10"/>
        <w:rPr>
          <w:lang w:val="en-US"/>
        </w:rPr>
      </w:pPr>
    </w:p>
    <w:p w14:paraId="083D02AB" w14:textId="647CC22A" w:rsidR="00F06189" w:rsidRDefault="00CD500D" w:rsidP="003874AE">
      <w:pPr>
        <w:pStyle w:val="10"/>
        <w:rPr>
          <w:lang w:val="en-US"/>
        </w:rPr>
      </w:pPr>
      <w:r w:rsidRPr="009960CD">
        <w:rPr>
          <w:lang w:val="en-US"/>
        </w:rPr>
        <w:t>w</w:t>
      </w:r>
      <w:r w:rsidR="00F06189" w:rsidRPr="009960CD">
        <w:rPr>
          <w:lang w:val="en-US"/>
        </w:rPr>
        <w:t>here</w:t>
      </w:r>
      <w:r w:rsidRPr="009960CD">
        <w:rPr>
          <w:lang w:val="en-US"/>
        </w:rPr>
        <w:t xml:space="preserve"> </w:t>
      </w:r>
      <w:r w:rsidR="00F06189" w:rsidRPr="009960CD">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g</m:t>
            </m:r>
          </m:sub>
        </m:sSub>
      </m:oMath>
      <w:r w:rsidR="00F06189" w:rsidRPr="009960CD">
        <w:rPr>
          <w:lang w:val="en-US"/>
        </w:rPr>
        <w:t xml:space="preserve"> is the capital</w:t>
      </w:r>
      <w:r w:rsidR="003874AE" w:rsidRPr="009960CD">
        <w:rPr>
          <w:lang w:val="en-US"/>
        </w:rPr>
        <w:t xml:space="preserve">- labor ratio in sector </w:t>
      </w:r>
      <m:oMath>
        <m:r>
          <w:rPr>
            <w:rFonts w:ascii="Cambria Math" w:hAnsi="Cambria Math"/>
            <w:lang w:val="en-US"/>
          </w:rPr>
          <m:t>g</m:t>
        </m:r>
      </m:oMath>
      <w:r w:rsidR="003A1760" w:rsidRPr="009960CD">
        <w:rPr>
          <w:lang w:val="en-US"/>
        </w:rPr>
        <w:t>, that</w:t>
      </w:r>
      <w:r w:rsidR="006205C2" w:rsidRPr="009960CD">
        <w:rPr>
          <w:lang w:val="en-US"/>
        </w:rPr>
        <w:t xml:space="preserve"> </w:t>
      </w:r>
      <w:r w:rsidR="003874AE" w:rsidRPr="009960CD">
        <w:rPr>
          <w:lang w:val="en-US"/>
        </w:rPr>
        <w:t xml:space="preserve">is  </w:t>
      </w:r>
      <w:r w:rsidR="00F06189" w:rsidRPr="009960CD">
        <w:rPr>
          <w:lang w:val="en-US"/>
        </w:rPr>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g</m:t>
            </m:r>
          </m:sub>
        </m:sSub>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g</m:t>
                </m:r>
              </m:sub>
            </m:sSub>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g</m:t>
                </m:r>
              </m:sub>
            </m:sSub>
          </m:den>
        </m:f>
      </m:oMath>
      <w:r w:rsidR="003874AE" w:rsidRPr="009960CD">
        <w:rPr>
          <w:lang w:val="en-US"/>
        </w:rPr>
        <w:t xml:space="preserve">; </w:t>
      </w:r>
      <w:r w:rsidR="00F06189" w:rsidRPr="009960CD">
        <w:rPr>
          <w:lang w:val="en-US"/>
        </w:rPr>
        <w:t xml:space="preserve"> </w:t>
      </w:r>
      <m:oMath>
        <m:r>
          <w:rPr>
            <w:rFonts w:ascii="Cambria Math" w:hAnsi="Cambria Math"/>
            <w:lang w:val="en-US"/>
          </w:rPr>
          <m:t>w</m:t>
        </m:r>
      </m:oMath>
      <w:r w:rsidR="00F06189" w:rsidRPr="009960CD">
        <w:rPr>
          <w:lang w:val="en-US"/>
        </w:rPr>
        <w:t xml:space="preserve"> is the wage rare per efficiency unit, paid in the second period after the completion of the production process. Note that for simplicity we assume that capital fully depreciates at the end of the production process.</w:t>
      </w:r>
    </w:p>
    <w:p w14:paraId="3794006B" w14:textId="1AF446E7" w:rsidR="00F06189" w:rsidRPr="009960CD" w:rsidRDefault="001F7AB5" w:rsidP="002F7212">
      <w:pPr>
        <w:pStyle w:val="10"/>
        <w:rPr>
          <w:lang w:val="en-US"/>
        </w:rPr>
      </w:pPr>
      <w:r>
        <w:rPr>
          <w:lang w:val="en-US"/>
        </w:rPr>
        <w:t xml:space="preserve">We denote by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gi1</m:t>
            </m:r>
          </m:sub>
        </m:sSub>
      </m:oMath>
      <w:r w:rsidR="002F7212">
        <w:rPr>
          <w:lang w:val="en-US"/>
        </w:rPr>
        <w:t xml:space="preserve"> the consumption of good g = x,y by an individual of type i = u,s in period t = 1,2. </w:t>
      </w:r>
      <w:r w:rsidR="00F06189" w:rsidRPr="009960CD">
        <w:rPr>
          <w:lang w:val="en-US"/>
        </w:rPr>
        <w:t>All individuals have identical preferences</w:t>
      </w:r>
      <w:r w:rsidR="00A23EE2" w:rsidRPr="009960CD">
        <w:rPr>
          <w:lang w:val="en-US"/>
        </w:rPr>
        <w:t>, given</w:t>
      </w:r>
      <w:r w:rsidR="00F06189" w:rsidRPr="009960CD">
        <w:rPr>
          <w:lang w:val="en-US"/>
        </w:rPr>
        <w:t xml:space="preserve"> by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F06189" w:rsidRPr="009960CD" w14:paraId="09ECD5EA" w14:textId="77777777" w:rsidTr="00DA4C08">
        <w:trPr>
          <w:trHeight w:val="737"/>
        </w:trPr>
        <w:tc>
          <w:tcPr>
            <w:tcW w:w="846" w:type="dxa"/>
            <w:vAlign w:val="center"/>
          </w:tcPr>
          <w:p w14:paraId="43E0E183" w14:textId="737A62BC" w:rsidR="00F06189" w:rsidRPr="009960CD" w:rsidRDefault="00F06189" w:rsidP="00D032B8">
            <w:pPr>
              <w:pStyle w:val="10"/>
              <w:spacing w:after="0"/>
              <w:jc w:val="left"/>
              <w:rPr>
                <w:lang w:val="en-US" w:bidi="he-IL"/>
              </w:rPr>
            </w:pPr>
            <w:r w:rsidRPr="009960CD">
              <w:rPr>
                <w:iCs/>
                <w:lang w:val="en-US"/>
              </w:rPr>
              <w:t>(</w:t>
            </w:r>
            <w:r w:rsidR="00664BE5" w:rsidRPr="009960CD">
              <w:rPr>
                <w:noProof/>
                <w:lang w:val="en-US"/>
              </w:rPr>
              <w:t>1</w:t>
            </w:r>
            <w:r w:rsidR="00D032B8" w:rsidRPr="009960CD">
              <w:rPr>
                <w:noProof/>
                <w:lang w:val="en-US"/>
              </w:rPr>
              <w:t>2</w:t>
            </w:r>
            <w:r w:rsidRPr="009960CD">
              <w:rPr>
                <w:iCs/>
                <w:lang w:val="en-US"/>
              </w:rPr>
              <w:t>)</w:t>
            </w:r>
          </w:p>
        </w:tc>
        <w:tc>
          <w:tcPr>
            <w:tcW w:w="7796" w:type="dxa"/>
            <w:vAlign w:val="center"/>
          </w:tcPr>
          <w:p w14:paraId="253833DC" w14:textId="122D2108" w:rsidR="00F06189" w:rsidRPr="009960CD" w:rsidRDefault="0067442C" w:rsidP="00F4126D">
            <w:pPr>
              <w:pStyle w:val="10"/>
              <w:spacing w:after="0"/>
              <w:jc w:val="center"/>
              <w:rPr>
                <w:lang w:val="en-US"/>
              </w:rPr>
            </w:pPr>
            <m:oMathPara>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i</m:t>
                    </m:r>
                  </m:sub>
                </m:sSub>
                <m:r>
                  <w:rPr>
                    <w:rFonts w:ascii="Cambria Math" w:hAnsi="Cambria Math"/>
                    <w:lang w:val="en-US"/>
                  </w:rPr>
                  <m:t xml:space="preserve">   =    (</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xi1</m:t>
                        </m:r>
                      </m:sub>
                    </m:sSub>
                  </m:e>
                  <m:sup>
                    <m:r>
                      <w:rPr>
                        <w:rFonts w:ascii="Cambria Math" w:hAnsi="Cambria Math"/>
                        <w:lang w:val="en-US"/>
                      </w:rPr>
                      <m:t>a</m:t>
                    </m:r>
                  </m:sup>
                </m:sSup>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yi1</m:t>
                        </m:r>
                      </m:sub>
                    </m:sSub>
                  </m:e>
                  <m:sup>
                    <m:r>
                      <w:rPr>
                        <w:rFonts w:ascii="Cambria Math" w:hAnsi="Cambria Math"/>
                        <w:lang w:val="en-US"/>
                      </w:rPr>
                      <m:t>1-a</m:t>
                    </m:r>
                  </m:sup>
                </m:sSup>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b</m:t>
                    </m:r>
                  </m:sup>
                </m:sSup>
                <m:r>
                  <w:rPr>
                    <w:rFonts w:ascii="Cambria Math" w:hAnsi="Cambria Math"/>
                    <w:lang w:val="en-US"/>
                  </w:rPr>
                  <m:t>(</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xi2</m:t>
                        </m:r>
                      </m:sub>
                    </m:sSub>
                  </m:e>
                  <m:sup>
                    <m:r>
                      <w:rPr>
                        <w:rFonts w:ascii="Cambria Math" w:hAnsi="Cambria Math"/>
                        <w:lang w:val="en-US"/>
                      </w:rPr>
                      <m:t>a</m:t>
                    </m:r>
                  </m:sup>
                </m:sSup>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yi2</m:t>
                        </m:r>
                      </m:sub>
                    </m:sSub>
                  </m:e>
                  <m:sup>
                    <m:r>
                      <w:rPr>
                        <w:rFonts w:ascii="Cambria Math" w:hAnsi="Cambria Math"/>
                        <w:lang w:val="en-US"/>
                      </w:rPr>
                      <m:t>1-a</m:t>
                    </m:r>
                  </m:sup>
                </m:sSup>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1-b</m:t>
                    </m:r>
                  </m:sup>
                </m:sSup>
                <m:r>
                  <w:rPr>
                    <w:rFonts w:ascii="Cambria Math" w:hAnsi="Cambria Math"/>
                    <w:lang w:val="en-US"/>
                  </w:rPr>
                  <m:t xml:space="preserve">  +d</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γ</m:t>
                    </m:r>
                  </m:sup>
                </m:sSup>
                <m:r>
                  <m:rPr>
                    <m:sty m:val="p"/>
                  </m:rPr>
                  <w:rPr>
                    <w:rFonts w:ascii="Cambria Math" w:hAnsi="Cambria Math"/>
                    <w:lang w:val="en-US"/>
                  </w:rPr>
                  <m:t>,</m:t>
                </m:r>
              </m:oMath>
            </m:oMathPara>
          </w:p>
        </w:tc>
        <w:tc>
          <w:tcPr>
            <w:tcW w:w="708" w:type="dxa"/>
            <w:vAlign w:val="center"/>
          </w:tcPr>
          <w:p w14:paraId="782A4D85" w14:textId="77777777" w:rsidR="00F06189" w:rsidRPr="009960CD" w:rsidRDefault="00F06189" w:rsidP="00DA4C08">
            <w:pPr>
              <w:pStyle w:val="10"/>
              <w:spacing w:after="0"/>
              <w:jc w:val="center"/>
              <w:rPr>
                <w:lang w:val="en-US" w:bidi="he-IL"/>
              </w:rPr>
            </w:pPr>
          </w:p>
        </w:tc>
      </w:tr>
    </w:tbl>
    <w:p w14:paraId="6FFC4DCD" w14:textId="77777777" w:rsidR="005D30E6" w:rsidRPr="009960CD" w:rsidRDefault="00F06189" w:rsidP="005D30E6">
      <w:pPr>
        <w:pStyle w:val="10"/>
        <w:rPr>
          <w:lang w:val="en-US"/>
        </w:rPr>
      </w:pPr>
      <w:r w:rsidRPr="009960CD">
        <w:rPr>
          <w:lang w:val="en-US"/>
        </w:rPr>
        <w:t xml:space="preserve">where 0 &lt; a &lt; 1, 0 &lt; b &lt; 1, d &gt; 0, </w:t>
      </w:r>
      <m:oMath>
        <m:r>
          <w:rPr>
            <w:rFonts w:ascii="Cambria Math" w:hAnsi="Cambria Math"/>
            <w:lang w:val="en-US"/>
          </w:rPr>
          <m:t xml:space="preserve">γ&gt;0, </m:t>
        </m:r>
      </m:oMath>
      <w:r w:rsidRPr="009960CD">
        <w:rPr>
          <w:lang w:val="en-US"/>
        </w:rPr>
        <w:t xml:space="preserve"> and </w:t>
      </w:r>
      <m:oMath>
        <m:r>
          <w:rPr>
            <w:rFonts w:ascii="Cambria Math" w:hAnsi="Cambria Math"/>
            <w:lang w:val="en-US"/>
          </w:rPr>
          <m:t>B</m:t>
        </m:r>
      </m:oMath>
      <w:r w:rsidR="00F4126D" w:rsidRPr="009960CD">
        <w:rPr>
          <w:lang w:val="en-US"/>
        </w:rPr>
        <w:t xml:space="preserve"> is a </w:t>
      </w:r>
      <w:r w:rsidR="003A1760" w:rsidRPr="009960CD">
        <w:rPr>
          <w:lang w:val="en-US"/>
        </w:rPr>
        <w:t>uniform social</w:t>
      </w:r>
      <w:r w:rsidRPr="009960CD">
        <w:rPr>
          <w:lang w:val="en-US"/>
        </w:rPr>
        <w:t xml:space="preserve"> benefit</w:t>
      </w:r>
      <w:r w:rsidR="00CD500D" w:rsidRPr="009960CD">
        <w:rPr>
          <w:lang w:val="en-US"/>
        </w:rPr>
        <w:t xml:space="preserve"> (</w:t>
      </w:r>
      <w:r w:rsidR="00C12107" w:rsidRPr="009960CD">
        <w:rPr>
          <w:lang w:val="en-US"/>
        </w:rPr>
        <w:t>provided in an equal amount to all individuals</w:t>
      </w:r>
      <w:r w:rsidR="00CD500D" w:rsidRPr="009960CD">
        <w:rPr>
          <w:lang w:val="en-US"/>
        </w:rPr>
        <w:t>)</w:t>
      </w:r>
      <w:r w:rsidRPr="009960CD">
        <w:rPr>
          <w:lang w:val="en-US"/>
        </w:rPr>
        <w:t xml:space="preserve">, </w:t>
      </w:r>
      <w:r w:rsidR="00C12107" w:rsidRPr="009960CD">
        <w:rPr>
          <w:lang w:val="en-US"/>
        </w:rPr>
        <w:t>assumed</w:t>
      </w:r>
      <w:r w:rsidR="00F3310F" w:rsidRPr="009960CD">
        <w:rPr>
          <w:lang w:val="en-US"/>
        </w:rPr>
        <w:t xml:space="preserve"> (</w:t>
      </w:r>
      <w:r w:rsidR="00C12107" w:rsidRPr="009960CD">
        <w:rPr>
          <w:lang w:val="en-US"/>
        </w:rPr>
        <w:t>for simplicity</w:t>
      </w:r>
      <w:r w:rsidR="003A1760" w:rsidRPr="009960CD">
        <w:rPr>
          <w:lang w:val="en-US"/>
        </w:rPr>
        <w:t>) to</w:t>
      </w:r>
      <w:r w:rsidR="00C12107" w:rsidRPr="009960CD">
        <w:rPr>
          <w:lang w:val="en-US"/>
        </w:rPr>
        <w:t xml:space="preserve"> be </w:t>
      </w:r>
      <w:r w:rsidR="003A1760" w:rsidRPr="009960CD">
        <w:rPr>
          <w:lang w:val="en-US"/>
        </w:rPr>
        <w:t>provided in</w:t>
      </w:r>
      <w:r w:rsidRPr="009960CD">
        <w:rPr>
          <w:lang w:val="en-US"/>
        </w:rPr>
        <w:t xml:space="preserve"> the second period</w:t>
      </w:r>
      <w:r w:rsidR="00C12107" w:rsidRPr="009960CD">
        <w:rPr>
          <w:lang w:val="en-US"/>
        </w:rPr>
        <w:t xml:space="preserve"> only</w:t>
      </w:r>
      <w:r w:rsidRPr="009960CD">
        <w:rPr>
          <w:lang w:val="en-US"/>
        </w:rPr>
        <w:t xml:space="preserve">. This social benefit captures the various ingredients that </w:t>
      </w:r>
      <w:r w:rsidR="00C12107" w:rsidRPr="009960CD">
        <w:rPr>
          <w:lang w:val="en-US"/>
        </w:rPr>
        <w:t>a</w:t>
      </w:r>
      <w:r w:rsidRPr="009960CD">
        <w:rPr>
          <w:lang w:val="en-US"/>
        </w:rPr>
        <w:t xml:space="preserve"> welfare state </w:t>
      </w:r>
      <w:r w:rsidR="00F3310F" w:rsidRPr="009960CD">
        <w:rPr>
          <w:lang w:val="en-US"/>
        </w:rPr>
        <w:t xml:space="preserve">provides, </w:t>
      </w:r>
      <w:r w:rsidRPr="009960CD">
        <w:rPr>
          <w:lang w:val="en-US"/>
        </w:rPr>
        <w:t xml:space="preserve">such as health services, education, in-kind transfers, etc. Note that the social benefit is </w:t>
      </w:r>
      <w:r w:rsidRPr="009960CD">
        <w:rPr>
          <w:u w:val="single"/>
          <w:lang w:val="en-US"/>
        </w:rPr>
        <w:t>not</w:t>
      </w:r>
      <w:r w:rsidRPr="009960CD">
        <w:rPr>
          <w:lang w:val="en-US"/>
        </w:rPr>
        <w:t xml:space="preserve"> a perfect substitute to private consumption</w:t>
      </w:r>
      <w:r w:rsidR="00F3310F" w:rsidRPr="009960CD">
        <w:rPr>
          <w:rStyle w:val="Appelnotedebasdep"/>
          <w:lang w:val="en-US"/>
        </w:rPr>
        <w:footnoteReference w:id="11"/>
      </w:r>
      <w:r w:rsidRPr="009960CD">
        <w:rPr>
          <w:lang w:val="en-US"/>
        </w:rPr>
        <w:t>.</w:t>
      </w:r>
      <w:r w:rsidR="005D30E6" w:rsidRPr="009960CD">
        <w:rPr>
          <w:lang w:val="en-US"/>
        </w:rPr>
        <w:t xml:space="preserve"> </w:t>
      </w:r>
    </w:p>
    <w:p w14:paraId="225B50FF" w14:textId="01B3C933" w:rsidR="00F06189" w:rsidRPr="009960CD" w:rsidRDefault="00F06189" w:rsidP="00F06189">
      <w:pPr>
        <w:pStyle w:val="10"/>
        <w:rPr>
          <w:lang w:val="en-US"/>
        </w:rPr>
      </w:pPr>
      <w:r w:rsidRPr="009960CD">
        <w:rPr>
          <w:lang w:val="en-US"/>
        </w:rPr>
        <w:t>Individual budget constraints for period 1 and 2 are</w:t>
      </w:r>
      <w:r w:rsidR="00F3310F" w:rsidRPr="009960CD">
        <w:rPr>
          <w:lang w:val="en-US"/>
        </w:rPr>
        <w:t xml:space="preserve"> given</w:t>
      </w:r>
      <w:r w:rsidRPr="009960CD">
        <w:rPr>
          <w:lang w:val="en-US"/>
        </w:rPr>
        <w:t>, respectively, by: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075"/>
        <w:gridCol w:w="708"/>
      </w:tblGrid>
      <w:tr w:rsidR="00F06189" w:rsidRPr="009960CD" w14:paraId="681E4FEF" w14:textId="77777777" w:rsidTr="00DA4C08">
        <w:trPr>
          <w:trHeight w:val="737"/>
        </w:trPr>
        <w:tc>
          <w:tcPr>
            <w:tcW w:w="567" w:type="dxa"/>
            <w:vAlign w:val="center"/>
          </w:tcPr>
          <w:p w14:paraId="243F098D" w14:textId="36702C75" w:rsidR="00F06189" w:rsidRPr="009960CD" w:rsidRDefault="00F06189" w:rsidP="00D032B8">
            <w:pPr>
              <w:pStyle w:val="10"/>
              <w:spacing w:after="0"/>
              <w:jc w:val="left"/>
              <w:rPr>
                <w:lang w:val="en-US" w:bidi="he-IL"/>
              </w:rPr>
            </w:pPr>
            <w:r w:rsidRPr="009960CD">
              <w:rPr>
                <w:iCs/>
                <w:lang w:val="en-US"/>
              </w:rPr>
              <w:t>(</w:t>
            </w:r>
            <w:r w:rsidR="00664BE5" w:rsidRPr="009960CD">
              <w:rPr>
                <w:noProof/>
                <w:lang w:val="en-US"/>
              </w:rPr>
              <w:t>1</w:t>
            </w:r>
            <w:r w:rsidR="00D032B8" w:rsidRPr="009960CD">
              <w:rPr>
                <w:noProof/>
                <w:lang w:val="en-US"/>
              </w:rPr>
              <w:t>3</w:t>
            </w:r>
            <w:r w:rsidRPr="009960CD">
              <w:rPr>
                <w:iCs/>
                <w:lang w:val="en-US"/>
              </w:rPr>
              <w:t>)</w:t>
            </w:r>
          </w:p>
        </w:tc>
        <w:tc>
          <w:tcPr>
            <w:tcW w:w="8075" w:type="dxa"/>
            <w:vAlign w:val="center"/>
          </w:tcPr>
          <w:p w14:paraId="215E2191" w14:textId="21C3316B" w:rsidR="00F06189" w:rsidRPr="009960CD" w:rsidRDefault="00F06189" w:rsidP="00F3310F">
            <w:pPr>
              <w:pStyle w:val="10"/>
              <w:spacing w:after="0"/>
              <w:jc w:val="center"/>
              <w:rPr>
                <w:lang w:val="en-US"/>
              </w:rPr>
            </w:pP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 xml:space="preserve">   = </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y</m:t>
                      </m:r>
                    </m:e>
                  </m:acc>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 xml:space="preserve"> c</m:t>
                  </m:r>
                </m:e>
                <m:sub>
                  <m:r>
                    <w:rPr>
                      <w:rFonts w:ascii="Cambria Math" w:hAnsi="Cambria Math"/>
                      <w:lang w:val="en-US"/>
                    </w:rPr>
                    <m:t xml:space="preserve">xi1     </m:t>
                  </m:r>
                </m:sub>
              </m:sSub>
              <m:r>
                <w:rPr>
                  <w:rFonts w:ascii="Cambria Math" w:hAnsi="Cambria Math"/>
                  <w:lang w:val="en-US"/>
                </w:rPr>
                <m:t xml:space="preserve">-   </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c</m:t>
                  </m:r>
                </m:e>
                <m:sub>
                  <m:r>
                    <w:rPr>
                      <w:rFonts w:ascii="Cambria Math" w:hAnsi="Cambria Math"/>
                      <w:lang w:val="en-US"/>
                    </w:rPr>
                    <m:t xml:space="preserve">yi1     </m:t>
                  </m:r>
                </m:sub>
              </m:sSub>
              <m:r>
                <w:rPr>
                  <w:rFonts w:ascii="Cambria Math" w:hAnsi="Cambria Math"/>
                  <w:lang w:val="en-US"/>
                </w:rPr>
                <m:t xml:space="preserve"> </m:t>
              </m:r>
            </m:oMath>
            <w:r w:rsidRPr="009960CD">
              <w:rPr>
                <w:lang w:val="en-US"/>
              </w:rPr>
              <w:t xml:space="preserve"> </w:t>
            </w:r>
            <m:oMath>
              <m:r>
                <w:rPr>
                  <w:rFonts w:ascii="Cambria Math" w:hAnsi="Cambria Math"/>
                  <w:lang w:val="en-US"/>
                </w:rPr>
                <m:t>.</m:t>
              </m:r>
            </m:oMath>
          </w:p>
        </w:tc>
        <w:tc>
          <w:tcPr>
            <w:tcW w:w="708" w:type="dxa"/>
            <w:vAlign w:val="center"/>
          </w:tcPr>
          <w:p w14:paraId="333A8C1F" w14:textId="77777777" w:rsidR="00F06189" w:rsidRPr="009960CD" w:rsidRDefault="00F06189" w:rsidP="00DA4C08">
            <w:pPr>
              <w:pStyle w:val="10"/>
              <w:spacing w:after="0"/>
              <w:jc w:val="center"/>
              <w:rPr>
                <w:lang w:val="en-US" w:bidi="he-IL"/>
              </w:rPr>
            </w:pPr>
          </w:p>
        </w:tc>
      </w:tr>
      <w:tr w:rsidR="00F06189" w:rsidRPr="009960CD" w14:paraId="5C66CAF1" w14:textId="77777777" w:rsidTr="00DA4C08">
        <w:trPr>
          <w:trHeight w:val="737"/>
        </w:trPr>
        <w:tc>
          <w:tcPr>
            <w:tcW w:w="567" w:type="dxa"/>
            <w:vAlign w:val="center"/>
          </w:tcPr>
          <w:p w14:paraId="6DED7962" w14:textId="56AEF0A3" w:rsidR="00F06189" w:rsidRPr="009960CD" w:rsidRDefault="00F06189" w:rsidP="00D032B8">
            <w:pPr>
              <w:pStyle w:val="10"/>
              <w:spacing w:after="0"/>
              <w:jc w:val="left"/>
              <w:rPr>
                <w:lang w:val="en-US" w:bidi="he-IL"/>
              </w:rPr>
            </w:pPr>
            <w:r w:rsidRPr="009960CD">
              <w:rPr>
                <w:iCs/>
                <w:lang w:val="en-US"/>
              </w:rPr>
              <w:t>(</w:t>
            </w:r>
            <w:r w:rsidR="00664BE5" w:rsidRPr="009960CD">
              <w:rPr>
                <w:iCs/>
                <w:lang w:val="en-US"/>
              </w:rPr>
              <w:t>1</w:t>
            </w:r>
            <w:r w:rsidR="00D032B8" w:rsidRPr="009960CD">
              <w:rPr>
                <w:iCs/>
                <w:lang w:val="en-US"/>
              </w:rPr>
              <w:t>4</w:t>
            </w:r>
            <w:r w:rsidRPr="009960CD">
              <w:rPr>
                <w:iCs/>
                <w:lang w:val="en-US"/>
              </w:rPr>
              <w:t>)</w:t>
            </w:r>
          </w:p>
        </w:tc>
        <w:tc>
          <w:tcPr>
            <w:tcW w:w="8075" w:type="dxa"/>
            <w:vAlign w:val="center"/>
          </w:tcPr>
          <w:p w14:paraId="4A56A494" w14:textId="4DA9C161" w:rsidR="00F06189" w:rsidRPr="009960CD" w:rsidRDefault="0067442C" w:rsidP="002F7212">
            <w:pPr>
              <w:pStyle w:val="10"/>
              <w:spacing w:after="0"/>
              <w:jc w:val="center"/>
              <w:rPr>
                <w:lang w:val="en-US"/>
              </w:rPr>
            </w:pPr>
            <m:oMathPara>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d>
                  <m:dPr>
                    <m:begChr m:val="["/>
                    <m:endChr m:val="]"/>
                    <m:ctrlPr>
                      <w:rPr>
                        <w:rFonts w:ascii="Cambria Math" w:hAnsi="Cambria Math"/>
                        <w:i/>
                        <w:lang w:val="en-US"/>
                      </w:rPr>
                    </m:ctrlPr>
                  </m:dPr>
                  <m:e>
                    <m:r>
                      <w:rPr>
                        <w:rFonts w:ascii="Cambria Math" w:hAnsi="Cambria Math"/>
                        <w:lang w:val="en-US"/>
                      </w:rPr>
                      <m:t xml:space="preserve"> 1+</m:t>
                    </m:r>
                    <m:d>
                      <m:dPr>
                        <m:ctrlPr>
                          <w:rPr>
                            <w:rFonts w:ascii="Cambria Math" w:hAnsi="Cambria Math"/>
                            <w:i/>
                            <w:lang w:val="en-US"/>
                          </w:rPr>
                        </m:ctrlPr>
                      </m:dPr>
                      <m:e>
                        <m:r>
                          <w:rPr>
                            <w:rFonts w:ascii="Cambria Math" w:hAnsi="Cambria Math"/>
                            <w:lang w:val="en-US"/>
                          </w:rPr>
                          <m:t xml:space="preserve">1-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e>
                </m:d>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i</m:t>
                    </m:r>
                  </m:sub>
                </m:sSub>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 xml:space="preserve"> 1-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l </m:t>
                        </m:r>
                      </m:sub>
                    </m:sSub>
                  </m:e>
                </m:d>
                <m:r>
                  <w:rPr>
                    <w:rFonts w:ascii="Cambria Math" w:hAnsi="Cambria Math"/>
                    <w:lang w:val="en-US"/>
                  </w:rPr>
                  <m:t xml:space="preserve">w= </m:t>
                </m:r>
                <m:sSub>
                  <m:sSubPr>
                    <m:ctrlPr>
                      <w:rPr>
                        <w:rFonts w:ascii="Cambria Math" w:hAnsi="Cambria Math"/>
                        <w:i/>
                        <w:lang w:val="en-US"/>
                      </w:rPr>
                    </m:ctrlPr>
                  </m:sSubPr>
                  <m:e>
                    <m:r>
                      <w:rPr>
                        <w:rFonts w:ascii="Cambria Math" w:hAnsi="Cambria Math"/>
                        <w:lang w:val="en-US"/>
                      </w:rPr>
                      <m:t xml:space="preserve"> c</m:t>
                    </m:r>
                  </m:e>
                  <m:sub>
                    <m:r>
                      <w:rPr>
                        <w:rFonts w:ascii="Cambria Math" w:hAnsi="Cambria Math"/>
                        <w:lang w:val="en-US"/>
                      </w:rPr>
                      <m:t xml:space="preserve">xi2     </m:t>
                    </m:r>
                  </m:sub>
                </m:sSub>
                <m:r>
                  <w:rPr>
                    <w:rFonts w:ascii="Cambria Math" w:hAnsi="Cambria Math"/>
                    <w:lang w:val="en-US"/>
                  </w:rPr>
                  <m:t xml:space="preserve">+   </m:t>
                </m:r>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c</m:t>
                    </m:r>
                  </m:e>
                  <m:sub>
                    <m:r>
                      <w:rPr>
                        <w:rFonts w:ascii="Cambria Math" w:hAnsi="Cambria Math"/>
                        <w:lang w:val="en-US"/>
                      </w:rPr>
                      <m:t xml:space="preserve">yi2 </m:t>
                    </m:r>
                  </m:sub>
                </m:sSub>
                <m:r>
                  <w:rPr>
                    <w:rFonts w:ascii="Cambria Math" w:hAnsi="Cambria Math"/>
                    <w:lang w:val="en-US"/>
                  </w:rPr>
                  <m:t xml:space="preserve">, </m:t>
                </m:r>
              </m:oMath>
            </m:oMathPara>
          </w:p>
        </w:tc>
        <w:tc>
          <w:tcPr>
            <w:tcW w:w="708" w:type="dxa"/>
            <w:vAlign w:val="center"/>
          </w:tcPr>
          <w:p w14:paraId="78F4A4E5" w14:textId="77777777" w:rsidR="00F06189" w:rsidRPr="009960CD" w:rsidRDefault="00F06189" w:rsidP="00DA4C08">
            <w:pPr>
              <w:pStyle w:val="10"/>
              <w:spacing w:after="0"/>
              <w:jc w:val="center"/>
              <w:rPr>
                <w:lang w:val="en-US" w:bidi="he-IL"/>
              </w:rPr>
            </w:pPr>
          </w:p>
        </w:tc>
      </w:tr>
    </w:tbl>
    <w:p w14:paraId="6E84732A" w14:textId="32C6499B" w:rsidR="00F06189" w:rsidRPr="009960CD" w:rsidRDefault="009624D2" w:rsidP="002F7212">
      <w:pPr>
        <w:pStyle w:val="10"/>
        <w:rPr>
          <w:lang w:val="en-US"/>
        </w:rPr>
      </w:pPr>
      <w:r w:rsidRPr="009960CD">
        <w:rPr>
          <w:lang w:val="en-US"/>
        </w:rPr>
        <w:t>w</w:t>
      </w:r>
      <w:r w:rsidR="00F3310F" w:rsidRPr="009960CD">
        <w:rPr>
          <w:lang w:val="en-US"/>
        </w:rPr>
        <w:t>here</w:t>
      </w:r>
      <w:r w:rsidR="00F06189" w:rsidRPr="009960CD">
        <w:rPr>
          <w:lang w:val="en-US"/>
        </w:rPr>
        <w:t xml:space="preserv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 xml:space="preserve"> </m:t>
        </m:r>
      </m:oMath>
      <w:r w:rsidR="00F3310F" w:rsidRPr="009960CD">
        <w:rPr>
          <w:lang w:val="en-US"/>
        </w:rPr>
        <w:t xml:space="preserve"> is domestic saving of individual i = u, s. Observe that</w:t>
      </w:r>
      <w:r w:rsidR="00377045" w:rsidRPr="009960CD">
        <w:rPr>
          <w:lang w:val="en-US"/>
        </w:rPr>
        <w:t xml:space="preserve"> when </w:t>
      </w:r>
      <w:r w:rsidR="00F3310F" w:rsidRPr="009960CD">
        <w:rPr>
          <w:lang w:val="en-US"/>
        </w:rPr>
        <w:t xml:space="preserve"> </w:t>
      </w:r>
      <m:oMath>
        <m:sSub>
          <m:sSubPr>
            <m:ctrlPr>
              <w:rPr>
                <w:rFonts w:ascii="Cambria Math" w:hAnsi="Cambria Math"/>
                <w:i/>
                <w:lang w:val="en-US"/>
              </w:rPr>
            </m:ctrlPr>
          </m:sSubPr>
          <m:e>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r>
                  <w:rPr>
                    <w:rFonts w:ascii="Cambria Math" w:hAnsi="Cambria Math"/>
                    <w:lang w:val="en-US"/>
                  </w:rPr>
                  <m:t xml:space="preserve"> </m:t>
                </m:r>
              </m:e>
            </m:d>
            <m:r>
              <w:rPr>
                <w:rFonts w:ascii="Cambria Math" w:hAnsi="Cambria Math"/>
                <w:lang w:val="en-US"/>
              </w:rPr>
              <m:t>S</m:t>
            </m:r>
          </m:e>
          <m:sub>
            <m:r>
              <w:rPr>
                <w:rFonts w:ascii="Cambria Math" w:hAnsi="Cambria Math"/>
                <w:lang w:val="en-US"/>
              </w:rPr>
              <m:t>u</m:t>
            </m:r>
          </m:sub>
        </m:sSub>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)S</m:t>
            </m:r>
          </m:e>
          <m:sub>
            <m:r>
              <w:rPr>
                <w:rFonts w:ascii="Cambria Math" w:hAnsi="Cambria Math"/>
                <w:lang w:val="en-US"/>
              </w:rPr>
              <m:t>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 xml:space="preserve">) </m:t>
        </m:r>
      </m:oMath>
      <w:r w:rsidR="00377045" w:rsidRPr="009960CD">
        <w:rPr>
          <w:lang w:val="en-US"/>
        </w:rPr>
        <w:t>is positive, then capital is exported and equation (1</w:t>
      </w:r>
      <w:r w:rsidR="003A1760" w:rsidRPr="009960CD">
        <w:rPr>
          <w:lang w:val="en-US"/>
        </w:rPr>
        <w:t>) is</w:t>
      </w:r>
      <w:r w:rsidR="00377045" w:rsidRPr="009960CD">
        <w:rPr>
          <w:lang w:val="en-US"/>
        </w:rPr>
        <w:t xml:space="preserve"> relevant; </w:t>
      </w:r>
      <w:r w:rsidR="00377045" w:rsidRPr="009960CD">
        <w:rPr>
          <w:lang w:val="en-US"/>
        </w:rPr>
        <w:lastRenderedPageBreak/>
        <w:t xml:space="preserve">whereas when </w:t>
      </w:r>
      <m:oMath>
        <m:sSub>
          <m:sSubPr>
            <m:ctrlPr>
              <w:rPr>
                <w:rFonts w:ascii="Cambria Math" w:hAnsi="Cambria Math"/>
                <w:i/>
                <w:lang w:val="en-US"/>
              </w:rPr>
            </m:ctrlPr>
          </m:sSubPr>
          <m:e>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r>
                  <w:rPr>
                    <w:rFonts w:ascii="Cambria Math" w:hAnsi="Cambria Math"/>
                    <w:lang w:val="en-US"/>
                  </w:rPr>
                  <m:t xml:space="preserve"> </m:t>
                </m:r>
              </m:e>
            </m:d>
            <m:r>
              <w:rPr>
                <w:rFonts w:ascii="Cambria Math" w:hAnsi="Cambria Math"/>
                <w:lang w:val="en-US"/>
              </w:rPr>
              <m:t>S</m:t>
            </m:r>
          </m:e>
          <m:sub>
            <m:r>
              <w:rPr>
                <w:rFonts w:ascii="Cambria Math" w:hAnsi="Cambria Math"/>
                <w:lang w:val="en-US"/>
              </w:rPr>
              <m:t>u</m:t>
            </m:r>
          </m:sub>
        </m:sSub>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)S</m:t>
            </m:r>
          </m:e>
          <m:sub>
            <m:r>
              <w:rPr>
                <w:rFonts w:ascii="Cambria Math" w:hAnsi="Cambria Math"/>
                <w:lang w:val="en-US"/>
              </w:rPr>
              <m:t>s</m:t>
            </m:r>
          </m:sub>
        </m:sSub>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oMath>
      <w:r w:rsidR="00377045" w:rsidRPr="009960CD">
        <w:rPr>
          <w:lang w:val="en-US"/>
        </w:rPr>
        <w:t xml:space="preserve"> is negative, then capital is imported and equation (2) is relevant.</w:t>
      </w:r>
    </w:p>
    <w:p w14:paraId="14101B4E" w14:textId="0B4919B6" w:rsidR="00F4126D" w:rsidRPr="009960CD" w:rsidRDefault="00F4126D" w:rsidP="00F4126D">
      <w:pPr>
        <w:pStyle w:val="10"/>
        <w:rPr>
          <w:lang w:val="en-US"/>
        </w:rPr>
      </w:pPr>
      <w:r w:rsidRPr="009960CD">
        <w:rPr>
          <w:lang w:val="en-US"/>
        </w:rPr>
        <w:t xml:space="preserve">We abstract from a tax on the initial </w:t>
      </w:r>
      <w:r w:rsidR="00A23EE2" w:rsidRPr="009960CD">
        <w:rPr>
          <w:lang w:val="en-US"/>
        </w:rPr>
        <w:t>endowments</w:t>
      </w:r>
      <w:r w:rsidRPr="009960CD">
        <w:rPr>
          <w:lang w:val="en-US"/>
        </w:rPr>
        <w:t xml:space="preserve"> because these are in fixed supply at the beginning of the first period, and a tax on them is not distortive; it will tend to be extremely high. Furthermore, when the low-skill form the majority, they will tax them </w:t>
      </w:r>
      <w:r w:rsidR="00A23EE2" w:rsidRPr="009960CD">
        <w:rPr>
          <w:lang w:val="en-US"/>
        </w:rPr>
        <w:t>at a</w:t>
      </w:r>
      <w:r w:rsidRPr="009960CD">
        <w:rPr>
          <w:lang w:val="en-US"/>
        </w:rPr>
        <w:t xml:space="preserve"> rate of </w:t>
      </w:r>
      <w:r w:rsidR="003A1760" w:rsidRPr="009960CD">
        <w:rPr>
          <w:lang w:val="en-US"/>
        </w:rPr>
        <w:t>100%. For a similar reason, we abstract also from a tax on consumption (VAT) because</w:t>
      </w:r>
      <w:r w:rsidR="00A66C7F" w:rsidRPr="009960CD">
        <w:rPr>
          <w:lang w:val="en-US"/>
        </w:rPr>
        <w:t xml:space="preserve"> </w:t>
      </w:r>
      <w:r w:rsidR="003A1760" w:rsidRPr="009960CD">
        <w:rPr>
          <w:lang w:val="en-US"/>
        </w:rPr>
        <w:t>it is equivalent to a tax on wages (which are taxed directly in our model), and a tax on the initial endowments (see, for instance, Frenkel, Razin and Sadka (1991)).</w:t>
      </w:r>
    </w:p>
    <w:p w14:paraId="6A42F682" w14:textId="77777777" w:rsidR="00F06189" w:rsidRPr="009960CD" w:rsidRDefault="00F06189" w:rsidP="00F06189">
      <w:pPr>
        <w:pStyle w:val="10"/>
        <w:rPr>
          <w:lang w:val="en-US"/>
        </w:rPr>
      </w:pPr>
      <w:r w:rsidRPr="009960CD">
        <w:rPr>
          <w:lang w:val="en-US"/>
        </w:rPr>
        <w:t>Consumption demands are then given by:</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965"/>
      </w:tblGrid>
      <w:tr w:rsidR="004527F2" w:rsidRPr="009960CD" w14:paraId="6ADA643D" w14:textId="77777777" w:rsidTr="00DC6DE2">
        <w:trPr>
          <w:trHeight w:val="737"/>
        </w:trPr>
        <w:tc>
          <w:tcPr>
            <w:tcW w:w="3119" w:type="dxa"/>
            <w:vAlign w:val="center"/>
          </w:tcPr>
          <w:p w14:paraId="06CB446E" w14:textId="46EA830B" w:rsidR="004527F2" w:rsidRPr="009960CD" w:rsidRDefault="004527F2" w:rsidP="00D032B8">
            <w:pPr>
              <w:pStyle w:val="10"/>
              <w:spacing w:after="0"/>
              <w:jc w:val="left"/>
              <w:rPr>
                <w:lang w:val="en-US" w:bidi="he-IL"/>
              </w:rPr>
            </w:pPr>
            <w:r w:rsidRPr="009960CD">
              <w:rPr>
                <w:iCs/>
                <w:lang w:val="en-US"/>
              </w:rPr>
              <w:t>(</w:t>
            </w:r>
            <w:r w:rsidR="00664BE5" w:rsidRPr="009960CD">
              <w:rPr>
                <w:noProof/>
                <w:lang w:val="en-US"/>
              </w:rPr>
              <w:t>1</w:t>
            </w:r>
            <w:r w:rsidR="00D032B8" w:rsidRPr="009960CD">
              <w:rPr>
                <w:noProof/>
                <w:lang w:val="en-US"/>
              </w:rPr>
              <w:t>5</w:t>
            </w:r>
            <w:r w:rsidRPr="009960CD">
              <w:rPr>
                <w:iCs/>
                <w:lang w:val="en-US"/>
              </w:rPr>
              <w:t>)</w:t>
            </w:r>
          </w:p>
        </w:tc>
        <w:tc>
          <w:tcPr>
            <w:tcW w:w="4111" w:type="dxa"/>
            <w:vAlign w:val="center"/>
          </w:tcPr>
          <w:p w14:paraId="3F0CD87F" w14:textId="79BDB9B9" w:rsidR="004527F2" w:rsidRPr="009960CD" w:rsidRDefault="0067442C" w:rsidP="00A66C7F">
            <w:pPr>
              <w:pStyle w:val="10"/>
              <w:spacing w:after="0"/>
              <w:rPr>
                <w:lang w:val="en-U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 xml:space="preserve">xi1     </m:t>
                  </m:r>
                </m:sub>
              </m:sSub>
            </m:oMath>
            <w:r w:rsidR="004527F2" w:rsidRPr="009960CD">
              <w:rPr>
                <w:lang w:val="en-US"/>
              </w:rPr>
              <w:t xml:space="preserve">  </w:t>
            </w:r>
            <m:oMath>
              <m:r>
                <w:rPr>
                  <w:rFonts w:ascii="Cambria Math" w:hAnsi="Cambria Math"/>
                  <w:lang w:val="en-US"/>
                </w:rPr>
                <m:t>= ab</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sub>
              </m:sSub>
              <m:r>
                <w:rPr>
                  <w:rFonts w:ascii="Cambria Math" w:hAnsi="Cambria Math"/>
                  <w:lang w:val="en-US"/>
                </w:rPr>
                <m:t xml:space="preserve"> </m:t>
              </m:r>
            </m:oMath>
            <w:r w:rsidR="004527F2" w:rsidRPr="009960CD">
              <w:rPr>
                <w:lang w:val="en-US"/>
              </w:rPr>
              <w:t xml:space="preserve">  </w:t>
            </w:r>
            <m:oMath>
              <m:r>
                <w:rPr>
                  <w:rFonts w:ascii="Cambria Math" w:hAnsi="Cambria Math"/>
                  <w:lang w:val="en-US"/>
                </w:rPr>
                <m:t>.</m:t>
              </m:r>
            </m:oMath>
          </w:p>
        </w:tc>
      </w:tr>
      <w:tr w:rsidR="004527F2" w:rsidRPr="009960CD" w14:paraId="27A41922" w14:textId="77777777" w:rsidTr="00DC6DE2">
        <w:trPr>
          <w:trHeight w:val="737"/>
        </w:trPr>
        <w:tc>
          <w:tcPr>
            <w:tcW w:w="3119" w:type="dxa"/>
            <w:vAlign w:val="center"/>
          </w:tcPr>
          <w:p w14:paraId="57446BC6" w14:textId="22991322" w:rsidR="004527F2" w:rsidRPr="009960CD" w:rsidRDefault="004527F2" w:rsidP="00D032B8">
            <w:pPr>
              <w:pStyle w:val="10"/>
              <w:spacing w:after="0"/>
              <w:jc w:val="left"/>
              <w:rPr>
                <w:lang w:val="en-US" w:bidi="he-IL"/>
              </w:rPr>
            </w:pPr>
            <w:r w:rsidRPr="009960CD">
              <w:rPr>
                <w:iCs/>
                <w:lang w:val="en-US"/>
              </w:rPr>
              <w:t>(</w:t>
            </w:r>
            <w:r w:rsidR="00664BE5" w:rsidRPr="009960CD">
              <w:rPr>
                <w:noProof/>
                <w:lang w:val="en-US"/>
              </w:rPr>
              <w:t>1</w:t>
            </w:r>
            <w:r w:rsidR="00D032B8" w:rsidRPr="009960CD">
              <w:rPr>
                <w:noProof/>
                <w:lang w:val="en-US"/>
              </w:rPr>
              <w:t>6</w:t>
            </w:r>
            <w:r w:rsidRPr="009960CD">
              <w:rPr>
                <w:iCs/>
                <w:lang w:val="en-US"/>
              </w:rPr>
              <w:t>)</w:t>
            </w:r>
          </w:p>
        </w:tc>
        <w:tc>
          <w:tcPr>
            <w:tcW w:w="4111" w:type="dxa"/>
            <w:vAlign w:val="center"/>
          </w:tcPr>
          <w:p w14:paraId="76E76F41" w14:textId="08671340" w:rsidR="004527F2" w:rsidRPr="009960CD" w:rsidRDefault="0067442C" w:rsidP="00A66C7F">
            <w:pPr>
              <w:pStyle w:val="10"/>
              <w:spacing w:after="0"/>
              <w:rPr>
                <w:lang w:val="en-U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 xml:space="preserve">yi1     </m:t>
                  </m:r>
                </m:sub>
              </m:sSub>
            </m:oMath>
            <w:r w:rsidR="004527F2" w:rsidRPr="009960CD">
              <w:rPr>
                <w:lang w:val="en-US"/>
              </w:rPr>
              <w:t xml:space="preserve">  </w:t>
            </w:r>
            <m:oMath>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(1-a)b</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 xml:space="preserve"> </m:t>
                  </m:r>
                </m:den>
              </m:f>
            </m:oMath>
            <w:r w:rsidR="004527F2" w:rsidRPr="009960CD">
              <w:rPr>
                <w:lang w:val="en-US"/>
              </w:rPr>
              <w:t xml:space="preserve"> </w:t>
            </w:r>
            <w:r w:rsidR="002F7212">
              <w:rPr>
                <w:lang w:val="en-US"/>
              </w:rPr>
              <w:t>,</w:t>
            </w:r>
          </w:p>
        </w:tc>
      </w:tr>
      <w:tr w:rsidR="004527F2" w:rsidRPr="009960CD" w14:paraId="3C6B71F9" w14:textId="77777777" w:rsidTr="00DC6DE2">
        <w:trPr>
          <w:trHeight w:val="737"/>
        </w:trPr>
        <w:tc>
          <w:tcPr>
            <w:tcW w:w="3119" w:type="dxa"/>
            <w:vAlign w:val="center"/>
          </w:tcPr>
          <w:p w14:paraId="5D650564" w14:textId="7309F1FF" w:rsidR="004527F2" w:rsidRPr="009960CD" w:rsidRDefault="004527F2" w:rsidP="00D032B8">
            <w:pPr>
              <w:pStyle w:val="10"/>
              <w:spacing w:after="0"/>
              <w:jc w:val="left"/>
              <w:rPr>
                <w:lang w:val="en-US" w:bidi="he-IL"/>
              </w:rPr>
            </w:pPr>
            <w:r w:rsidRPr="009960CD">
              <w:rPr>
                <w:iCs/>
                <w:lang w:val="en-US"/>
              </w:rPr>
              <w:t>(</w:t>
            </w:r>
            <w:r w:rsidR="00664BE5" w:rsidRPr="009960CD">
              <w:rPr>
                <w:noProof/>
                <w:lang w:val="en-US"/>
              </w:rPr>
              <w:t>1</w:t>
            </w:r>
            <w:r w:rsidR="00D032B8" w:rsidRPr="009960CD">
              <w:rPr>
                <w:noProof/>
                <w:lang w:val="en-US"/>
              </w:rPr>
              <w:t>7</w:t>
            </w:r>
            <w:r w:rsidRPr="009960CD">
              <w:rPr>
                <w:iCs/>
                <w:lang w:val="en-US"/>
              </w:rPr>
              <w:t>)</w:t>
            </w:r>
          </w:p>
        </w:tc>
        <w:tc>
          <w:tcPr>
            <w:tcW w:w="4111" w:type="dxa"/>
            <w:vAlign w:val="center"/>
          </w:tcPr>
          <w:p w14:paraId="38729D12" w14:textId="77777777" w:rsidR="002F7212" w:rsidRDefault="0067442C" w:rsidP="002F7212">
            <w:pPr>
              <w:pStyle w:val="10"/>
              <w:spacing w:after="0"/>
              <w:rPr>
                <w:lang w:val="en-U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 xml:space="preserve">xi2     </m:t>
                  </m:r>
                </m:sub>
              </m:sSub>
            </m:oMath>
            <w:r w:rsidR="004527F2" w:rsidRPr="009960CD">
              <w:rPr>
                <w:lang w:val="en-US"/>
              </w:rPr>
              <w:t xml:space="preserve">  =   </w:t>
            </w:r>
            <m:oMath>
              <m:r>
                <w:rPr>
                  <w:rFonts w:ascii="Cambria Math" w:hAnsi="Cambria Math"/>
                  <w:lang w:val="en-US"/>
                </w:rPr>
                <m:t>a(1-b</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sub>
              </m:sSub>
              <m:r>
                <w:rPr>
                  <w:rFonts w:ascii="Cambria Math" w:hAnsi="Cambria Math"/>
                  <w:lang w:val="en-US"/>
                </w:rPr>
                <m:t>[1+</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oMath>
            <w:r w:rsidR="004527F2" w:rsidRPr="009960CD">
              <w:rPr>
                <w:lang w:val="en-US"/>
              </w:rPr>
              <w:t xml:space="preserve">, </w:t>
            </w:r>
          </w:p>
          <w:p w14:paraId="078CB795" w14:textId="20008EDD" w:rsidR="002F7212" w:rsidRPr="009960CD" w:rsidRDefault="002F7212" w:rsidP="002F7212">
            <w:pPr>
              <w:pStyle w:val="10"/>
              <w:spacing w:after="0"/>
              <w:rPr>
                <w:lang w:val="en-US"/>
              </w:rPr>
            </w:pPr>
            <w:r>
              <w:rPr>
                <w:lang w:val="en-US"/>
              </w:rPr>
              <w:t xml:space="preserve">and </w:t>
            </w:r>
          </w:p>
        </w:tc>
      </w:tr>
      <w:tr w:rsidR="004527F2" w:rsidRPr="009960CD" w14:paraId="1F0B93DD" w14:textId="77777777" w:rsidTr="00DC6DE2">
        <w:trPr>
          <w:trHeight w:val="737"/>
        </w:trPr>
        <w:tc>
          <w:tcPr>
            <w:tcW w:w="3119" w:type="dxa"/>
            <w:vAlign w:val="center"/>
          </w:tcPr>
          <w:p w14:paraId="71AE903D" w14:textId="10BA7318" w:rsidR="004527F2" w:rsidRPr="009960CD" w:rsidRDefault="004527F2" w:rsidP="00D032B8">
            <w:pPr>
              <w:pStyle w:val="10"/>
              <w:spacing w:after="0"/>
              <w:jc w:val="left"/>
              <w:rPr>
                <w:noProof/>
                <w:lang w:val="en-US"/>
              </w:rPr>
            </w:pPr>
            <w:r w:rsidRPr="009960CD">
              <w:rPr>
                <w:iCs/>
                <w:lang w:val="en-US"/>
              </w:rPr>
              <w:t>(</w:t>
            </w:r>
            <w:r w:rsidR="00664BE5" w:rsidRPr="009960CD">
              <w:rPr>
                <w:noProof/>
                <w:lang w:val="en-US"/>
              </w:rPr>
              <w:t>1</w:t>
            </w:r>
            <w:r w:rsidR="00D032B8" w:rsidRPr="009960CD">
              <w:rPr>
                <w:noProof/>
                <w:lang w:val="en-US"/>
              </w:rPr>
              <w:t>8</w:t>
            </w:r>
            <w:r w:rsidR="00664BE5" w:rsidRPr="009960CD">
              <w:rPr>
                <w:noProof/>
                <w:lang w:val="en-US"/>
              </w:rPr>
              <w:t>)</w:t>
            </w:r>
          </w:p>
          <w:p w14:paraId="010022B2" w14:textId="4C4797D7" w:rsidR="004527F2" w:rsidRPr="009960CD" w:rsidRDefault="004527F2" w:rsidP="00DC6DE2">
            <w:pPr>
              <w:pStyle w:val="10"/>
              <w:spacing w:after="0"/>
              <w:jc w:val="left"/>
              <w:rPr>
                <w:lang w:val="en-US" w:bidi="he-IL"/>
              </w:rPr>
            </w:pPr>
          </w:p>
        </w:tc>
        <w:tc>
          <w:tcPr>
            <w:tcW w:w="4111" w:type="dxa"/>
            <w:vAlign w:val="center"/>
          </w:tcPr>
          <w:p w14:paraId="7D3FB3D8" w14:textId="5B2C54BD" w:rsidR="004527F2" w:rsidRPr="009960CD" w:rsidRDefault="0067442C" w:rsidP="00A66C7F">
            <w:pPr>
              <w:pStyle w:val="10"/>
              <w:spacing w:after="0"/>
              <w:rPr>
                <w:lang w:val="en-US"/>
              </w:rPr>
            </w:pP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 xml:space="preserve">yi2     </m:t>
                  </m:r>
                </m:sub>
              </m:sSub>
            </m:oMath>
            <w:r w:rsidR="004527F2" w:rsidRPr="009960CD">
              <w:rPr>
                <w:lang w:val="en-US"/>
              </w:rPr>
              <w:t xml:space="preserve">  =  </w:t>
            </w:r>
            <m:oMath>
              <m:f>
                <m:fPr>
                  <m:ctrlPr>
                    <w:rPr>
                      <w:rFonts w:ascii="Cambria Math" w:hAnsi="Cambria Math"/>
                      <w:i/>
                      <w:lang w:val="en-US"/>
                    </w:rPr>
                  </m:ctrlPr>
                </m:fPr>
                <m:num>
                  <m:r>
                    <w:rPr>
                      <w:rFonts w:ascii="Cambria Math" w:hAnsi="Cambria Math"/>
                      <w:lang w:val="en-US"/>
                    </w:rPr>
                    <m:t>(1-a)(1-b</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sub>
                  </m:sSub>
                  <m:r>
                    <w:rPr>
                      <w:rFonts w:ascii="Cambria Math" w:hAnsi="Cambria Math"/>
                      <w:lang w:val="en-US"/>
                    </w:rPr>
                    <m:t xml:space="preserve"> (1+</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den>
              </m:f>
              <m:r>
                <w:rPr>
                  <w:rFonts w:ascii="Cambria Math" w:hAnsi="Cambria Math"/>
                  <w:lang w:val="en-US"/>
                </w:rPr>
                <m:t>,</m:t>
              </m:r>
            </m:oMath>
            <w:r w:rsidR="004527F2" w:rsidRPr="009960CD">
              <w:rPr>
                <w:lang w:val="en-US"/>
              </w:rPr>
              <w:t>.</w:t>
            </w:r>
          </w:p>
          <w:p w14:paraId="0FE3539E" w14:textId="77777777" w:rsidR="004527F2" w:rsidRPr="009960CD" w:rsidRDefault="004527F2" w:rsidP="00DC6DE2">
            <w:pPr>
              <w:pStyle w:val="10"/>
              <w:spacing w:after="0"/>
              <w:rPr>
                <w:lang w:val="en-US"/>
              </w:rPr>
            </w:pPr>
          </w:p>
        </w:tc>
      </w:tr>
    </w:tbl>
    <w:p w14:paraId="717FEC06" w14:textId="77777777" w:rsidR="00377045" w:rsidRPr="009960CD" w:rsidRDefault="00377045" w:rsidP="00F06189">
      <w:pPr>
        <w:pStyle w:val="10"/>
        <w:rPr>
          <w:lang w:val="en-US"/>
        </w:rPr>
      </w:pPr>
    </w:p>
    <w:p w14:paraId="538E877B" w14:textId="77777777" w:rsidR="00377045" w:rsidRPr="009960CD" w:rsidRDefault="00377045" w:rsidP="00F06189">
      <w:pPr>
        <w:pStyle w:val="10"/>
        <w:rPr>
          <w:lang w:val="en-US"/>
        </w:rPr>
      </w:pPr>
    </w:p>
    <w:p w14:paraId="1CCE493D" w14:textId="58982147" w:rsidR="00377045" w:rsidRPr="009960CD" w:rsidRDefault="002F7212" w:rsidP="002F7212">
      <w:pPr>
        <w:rPr>
          <w:rFonts w:eastAsiaTheme="minorEastAsia"/>
        </w:rPr>
      </w:pPr>
      <w:r>
        <w:lastRenderedPageBreak/>
        <w:t>w</w:t>
      </w:r>
      <w:r w:rsidR="00377045" w:rsidRPr="009960CD">
        <w:t xml:space="preserve">here </w:t>
      </w:r>
      <m:oMath>
        <m:sSub>
          <m:sSubPr>
            <m:ctrlPr>
              <w:rPr>
                <w:rFonts w:ascii="Cambria Math" w:hAnsi="Cambria Math"/>
                <w:i/>
              </w:rPr>
            </m:ctrlPr>
          </m:sSubPr>
          <m:e>
            <m:r>
              <w:rPr>
                <w:rFonts w:ascii="Cambria Math" w:hAnsi="Cambria Math"/>
              </w:rPr>
              <m:t>I</m:t>
            </m:r>
          </m:e>
          <m:sub>
            <m:r>
              <w:rPr>
                <w:rFonts w:ascii="Cambria Math" w:hAnsi="Cambria Math"/>
              </w:rPr>
              <m:t>i</m:t>
            </m:r>
          </m:sub>
        </m:sSub>
      </m:oMath>
      <w:r w:rsidR="00377045" w:rsidRPr="009960CD">
        <w:rPr>
          <w:rFonts w:eastAsiaTheme="minorEastAsia"/>
        </w:rPr>
        <w:t xml:space="preserve"> </w:t>
      </w:r>
      <w:r w:rsidR="003A1760" w:rsidRPr="009960CD">
        <w:rPr>
          <w:rFonts w:eastAsiaTheme="minorEastAsia"/>
        </w:rPr>
        <w:t>is a lifetime</w:t>
      </w:r>
      <w:r w:rsidR="00377045" w:rsidRPr="009960CD">
        <w:rPr>
          <w:rFonts w:eastAsiaTheme="minorEastAsia"/>
        </w:rPr>
        <w:t xml:space="preserve"> income (in present value) of an individual of type</w:t>
      </w:r>
      <w:r>
        <w:rPr>
          <w:rFonts w:eastAsiaTheme="minorEastAsia"/>
        </w:rPr>
        <w:t xml:space="preserve"> i </w:t>
      </w:r>
      <w:r w:rsidR="00377045" w:rsidRPr="009960CD">
        <w:rPr>
          <w:rFonts w:eastAsiaTheme="minorEastAsia"/>
        </w:rPr>
        <w:t xml:space="preserve"> = u, s, given by </w:t>
      </w:r>
    </w:p>
    <w:p w14:paraId="44C80CD3" w14:textId="77777777" w:rsidR="003F11C7" w:rsidRDefault="00664BE5" w:rsidP="003F11C7">
      <w:pPr>
        <w:pStyle w:val="10"/>
        <w:rPr>
          <w:lang w:val="en-US"/>
        </w:rPr>
      </w:pPr>
      <w:r w:rsidRPr="009960CD">
        <w:rPr>
          <w:lang w:val="en-US"/>
        </w:rPr>
        <w:t>(1</w:t>
      </w:r>
      <w:r w:rsidR="00D032B8" w:rsidRPr="009960CD">
        <w:rPr>
          <w:lang w:val="en-US"/>
        </w:rPr>
        <w:t>9</w:t>
      </w:r>
      <w:r w:rsidR="00377045" w:rsidRPr="009960CD">
        <w:rPr>
          <w:lang w:val="en-US"/>
        </w:rPr>
        <w:t>)</w:t>
      </w:r>
      <w:r w:rsidR="004527F2" w:rsidRPr="009960CD">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i</m:t>
                </m:r>
              </m:sub>
            </m:sSub>
            <m:r>
              <w:rPr>
                <w:rFonts w:ascii="Cambria Math" w:hAnsi="Cambria Math"/>
                <w:lang w:val="en-US"/>
              </w:rPr>
              <m:t xml:space="preserve"> w(1-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L</m:t>
                </m:r>
              </m:sub>
            </m:sSub>
            <m:r>
              <w:rPr>
                <w:rFonts w:ascii="Cambria Math" w:hAnsi="Cambria Math"/>
                <w:lang w:val="en-US"/>
              </w:rPr>
              <m:t xml:space="preserve"> +     (</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y</m:t>
                        </m:r>
                      </m:e>
                    </m:acc>
                  </m:e>
                  <m:sub>
                    <m:r>
                      <w:rPr>
                        <w:rFonts w:ascii="Cambria Math" w:hAnsi="Cambria Math"/>
                        <w:lang w:val="en-US"/>
                      </w:rPr>
                      <m:t>i</m:t>
                    </m:r>
                  </m:sub>
                </m:sSub>
                <m:r>
                  <w:rPr>
                    <w:rFonts w:ascii="Cambria Math" w:hAnsi="Cambria Math"/>
                    <w:lang w:val="en-US"/>
                  </w:rPr>
                  <m:t xml:space="preserve">)  </m:t>
                </m:r>
              </m:e>
              <m:sub/>
            </m:sSub>
            <m:r>
              <w:rPr>
                <w:rFonts w:ascii="Cambria Math" w:hAnsi="Cambria Math"/>
                <w:lang w:val="en-US"/>
              </w:rPr>
              <m:t>[ 1+</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 xml:space="preserve">r ] </m:t>
            </m:r>
          </m:num>
          <m:den>
            <m:r>
              <w:rPr>
                <w:rFonts w:ascii="Cambria Math" w:hAnsi="Cambria Math"/>
                <w:lang w:val="en-US"/>
              </w:rPr>
              <m:t>1+</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den>
        </m:f>
      </m:oMath>
      <w:r w:rsidR="004527F2" w:rsidRPr="009960CD">
        <w:rPr>
          <w:lang w:val="en-US"/>
        </w:rPr>
        <w:t xml:space="preserve"> </w:t>
      </w:r>
      <w:r w:rsidR="003F11C7">
        <w:rPr>
          <w:lang w:val="en-US"/>
        </w:rPr>
        <w:t>,</w:t>
      </w:r>
    </w:p>
    <w:p w14:paraId="07F02B2D" w14:textId="77777777" w:rsidR="003F11C7" w:rsidRDefault="003F11C7" w:rsidP="003F11C7">
      <w:pPr>
        <w:pStyle w:val="10"/>
        <w:rPr>
          <w:lang w:val="en-US"/>
        </w:rPr>
      </w:pPr>
      <w:r>
        <w:rPr>
          <w:lang w:val="en-US"/>
        </w:rPr>
        <w:t xml:space="preserve">where </w:t>
      </w:r>
    </w:p>
    <w:p w14:paraId="1DF069B4" w14:textId="72FB35F7" w:rsidR="00377045" w:rsidRPr="009960CD" w:rsidRDefault="003F11C7" w:rsidP="003F11C7">
      <w:pPr>
        <w:pStyle w:val="10"/>
        <w:rPr>
          <w:lang w:val="en-US"/>
        </w:rPr>
      </w:pPr>
      <w:r>
        <w:rPr>
          <w:lang w:val="en-US"/>
        </w:rPr>
        <w:t xml:space="preserve">(20)        </w:t>
      </w:r>
      <m:oMath>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i</m:t>
            </m:r>
          </m:sub>
        </m:sSub>
      </m:oMath>
      <w:r w:rsidR="004527F2" w:rsidRPr="009960CD">
        <w:rPr>
          <w:lang w:val="en-US"/>
        </w:rPr>
        <w:t xml:space="preserve"> </w:t>
      </w:r>
      <w:r>
        <w:rPr>
          <w:lang w:val="en-US"/>
        </w:rPr>
        <w:t xml:space="preserve">  = </w:t>
      </w:r>
      <m:oMath>
        <m:sSub>
          <m:sSubPr>
            <m:ctrlPr>
              <w:rPr>
                <w:rFonts w:ascii="Cambria Math" w:hAnsi="Cambria Math"/>
                <w:i/>
                <w:lang w:val="en-US"/>
              </w:rPr>
            </m:ctrlPr>
          </m:sSubPr>
          <m:e>
            <m:sSup>
              <m:sSupPr>
                <m:ctrlPr>
                  <w:rPr>
                    <w:rFonts w:ascii="Cambria Math" w:hAnsi="Cambria Math"/>
                    <w:i/>
                    <w:lang w:val="en-US"/>
                  </w:rPr>
                </m:ctrlPr>
              </m:sSupPr>
              <m:e>
                <m:sSub>
                  <m:sSubPr>
                    <m:ctrlPr>
                      <w:rPr>
                        <w:rFonts w:ascii="Cambria Math" w:hAnsi="Cambria Math"/>
                        <w:i/>
                        <w:lang w:val="en-US"/>
                      </w:rPr>
                    </m:ctrlPr>
                  </m:sSubPr>
                  <m:e>
                    <m:d>
                      <m:dPr>
                        <m:endChr m:val=""/>
                        <m:ctrlPr>
                          <w:rPr>
                            <w:rFonts w:ascii="Cambria Math" w:hAnsi="Cambria Math"/>
                            <w:i/>
                            <w:lang w:val="en-US"/>
                          </w:rPr>
                        </m:ctrlPr>
                      </m:dPr>
                      <m:e/>
                    </m:d>
                  </m:e>
                  <m:sub>
                    <m:sSub>
                      <m:sSubPr>
                        <m:ctrlPr>
                          <w:rPr>
                            <w:rFonts w:ascii="Cambria Math" w:hAnsi="Cambria Math"/>
                            <w:i/>
                            <w:lang w:val="en-US"/>
                          </w:rPr>
                        </m:ctrlPr>
                      </m:sSubPr>
                      <m:e/>
                      <m:sub>
                        <m:r>
                          <w:rPr>
                            <w:rFonts w:ascii="Cambria Math" w:hAnsi="Cambria Math"/>
                            <w:lang w:val="en-US"/>
                          </w:rPr>
                          <m:t>1    for   i=s</m:t>
                        </m:r>
                      </m:sub>
                    </m:sSub>
                  </m:sub>
                </m:sSub>
              </m:e>
              <m:sup>
                <m:sSup>
                  <m:sSupPr>
                    <m:ctrlPr>
                      <w:rPr>
                        <w:rFonts w:ascii="Cambria Math" w:hAnsi="Cambria Math"/>
                        <w:i/>
                        <w:lang w:val="en-US"/>
                      </w:rPr>
                    </m:ctrlPr>
                  </m:sSupPr>
                  <m:e/>
                  <m:sup>
                    <m:r>
                      <w:rPr>
                        <w:rFonts w:ascii="Cambria Math" w:hAnsi="Cambria Math"/>
                        <w:lang w:val="en-US"/>
                      </w:rPr>
                      <m:t>ρ    for i=u</m:t>
                    </m:r>
                  </m:sup>
                </m:sSup>
              </m:sup>
            </m:sSup>
          </m:e>
          <m:sub/>
        </m:sSub>
      </m:oMath>
      <w:r>
        <w:rPr>
          <w:lang w:val="en-US"/>
        </w:rPr>
        <w:t xml:space="preserve">  </w:t>
      </w:r>
      <m:oMath>
        <m:d>
          <m:dPr>
            <m:begChr m:val=""/>
            <m:ctrlPr>
              <w:rPr>
                <w:rFonts w:ascii="Cambria Math" w:hAnsi="Cambria Math"/>
                <w:i/>
                <w:lang w:val="en-US"/>
              </w:rPr>
            </m:ctrlPr>
          </m:dPr>
          <m:e/>
        </m:d>
      </m:oMath>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273"/>
        <w:gridCol w:w="4111"/>
        <w:gridCol w:w="1412"/>
        <w:gridCol w:w="708"/>
        <w:gridCol w:w="1140"/>
      </w:tblGrid>
      <w:tr w:rsidR="00F06189" w:rsidRPr="009960CD" w14:paraId="5582AECE" w14:textId="77777777" w:rsidTr="00DA4C08">
        <w:trPr>
          <w:trHeight w:val="737"/>
        </w:trPr>
        <w:tc>
          <w:tcPr>
            <w:tcW w:w="3119" w:type="dxa"/>
            <w:gridSpan w:val="2"/>
            <w:vAlign w:val="center"/>
          </w:tcPr>
          <w:p w14:paraId="25F7DAEE" w14:textId="7D61C446" w:rsidR="00F06189" w:rsidRPr="009960CD" w:rsidRDefault="00F06189" w:rsidP="00377045">
            <w:pPr>
              <w:pStyle w:val="10"/>
              <w:spacing w:after="0"/>
              <w:jc w:val="left"/>
              <w:rPr>
                <w:lang w:val="en-US" w:bidi="he-IL"/>
              </w:rPr>
            </w:pPr>
          </w:p>
        </w:tc>
        <w:tc>
          <w:tcPr>
            <w:tcW w:w="4111" w:type="dxa"/>
            <w:vAlign w:val="center"/>
          </w:tcPr>
          <w:p w14:paraId="3096A00C" w14:textId="14D2FDDD" w:rsidR="00F06189" w:rsidRPr="009960CD" w:rsidRDefault="00F06189" w:rsidP="00DA4C08">
            <w:pPr>
              <w:pStyle w:val="10"/>
              <w:spacing w:after="0"/>
              <w:rPr>
                <w:lang w:val="en-US"/>
              </w:rPr>
            </w:pPr>
          </w:p>
        </w:tc>
        <w:tc>
          <w:tcPr>
            <w:tcW w:w="3260" w:type="dxa"/>
            <w:gridSpan w:val="3"/>
            <w:vAlign w:val="center"/>
          </w:tcPr>
          <w:p w14:paraId="1D86C00F" w14:textId="77777777" w:rsidR="00F06189" w:rsidRPr="009960CD" w:rsidRDefault="00F06189" w:rsidP="00DA4C08">
            <w:pPr>
              <w:pStyle w:val="10"/>
              <w:spacing w:after="0"/>
              <w:jc w:val="center"/>
              <w:rPr>
                <w:lang w:val="en-US" w:bidi="he-IL"/>
              </w:rPr>
            </w:pPr>
          </w:p>
        </w:tc>
      </w:tr>
      <w:tr w:rsidR="00F06189" w:rsidRPr="009960CD" w14:paraId="259777E5" w14:textId="77777777" w:rsidTr="00DA4C08">
        <w:trPr>
          <w:trHeight w:val="737"/>
        </w:trPr>
        <w:tc>
          <w:tcPr>
            <w:tcW w:w="3119" w:type="dxa"/>
            <w:gridSpan w:val="2"/>
            <w:vAlign w:val="center"/>
          </w:tcPr>
          <w:p w14:paraId="1178E6E3" w14:textId="49DDAF2B" w:rsidR="00F06189" w:rsidRPr="009960CD" w:rsidRDefault="00F06189" w:rsidP="00377045">
            <w:pPr>
              <w:pStyle w:val="10"/>
              <w:spacing w:after="0"/>
              <w:jc w:val="left"/>
              <w:rPr>
                <w:lang w:val="en-US" w:bidi="he-IL"/>
              </w:rPr>
            </w:pPr>
          </w:p>
        </w:tc>
        <w:tc>
          <w:tcPr>
            <w:tcW w:w="4111" w:type="dxa"/>
            <w:vAlign w:val="center"/>
          </w:tcPr>
          <w:p w14:paraId="663E41F8" w14:textId="2AB3AC17" w:rsidR="00F06189" w:rsidRPr="009960CD" w:rsidRDefault="00F06189" w:rsidP="00DA4C08">
            <w:pPr>
              <w:pStyle w:val="10"/>
              <w:spacing w:after="0"/>
              <w:rPr>
                <w:lang w:val="en-US"/>
              </w:rPr>
            </w:pPr>
          </w:p>
        </w:tc>
        <w:tc>
          <w:tcPr>
            <w:tcW w:w="3260" w:type="dxa"/>
            <w:gridSpan w:val="3"/>
            <w:vAlign w:val="center"/>
          </w:tcPr>
          <w:p w14:paraId="7D75A713" w14:textId="77777777" w:rsidR="00F06189" w:rsidRPr="009960CD" w:rsidRDefault="00F06189" w:rsidP="00DA4C08">
            <w:pPr>
              <w:pStyle w:val="10"/>
              <w:spacing w:after="0"/>
              <w:jc w:val="center"/>
              <w:rPr>
                <w:lang w:val="en-US" w:bidi="he-IL"/>
              </w:rPr>
            </w:pPr>
          </w:p>
        </w:tc>
      </w:tr>
      <w:tr w:rsidR="00F06189" w:rsidRPr="009960CD" w14:paraId="27A4E499" w14:textId="77777777" w:rsidTr="00DA4C08">
        <w:trPr>
          <w:trHeight w:val="737"/>
        </w:trPr>
        <w:tc>
          <w:tcPr>
            <w:tcW w:w="3119" w:type="dxa"/>
            <w:gridSpan w:val="2"/>
            <w:vAlign w:val="center"/>
          </w:tcPr>
          <w:p w14:paraId="3EDF4690" w14:textId="09337EA7" w:rsidR="00F06189" w:rsidRPr="009960CD" w:rsidRDefault="00F06189" w:rsidP="00377045">
            <w:pPr>
              <w:pStyle w:val="10"/>
              <w:spacing w:after="0"/>
              <w:jc w:val="left"/>
              <w:rPr>
                <w:lang w:val="en-US" w:bidi="he-IL"/>
              </w:rPr>
            </w:pPr>
          </w:p>
        </w:tc>
        <w:tc>
          <w:tcPr>
            <w:tcW w:w="4111" w:type="dxa"/>
            <w:vAlign w:val="center"/>
          </w:tcPr>
          <w:p w14:paraId="16A2C8E6" w14:textId="5895E308" w:rsidR="00F06189" w:rsidRPr="009960CD" w:rsidRDefault="00F06189" w:rsidP="00DA4C08">
            <w:pPr>
              <w:pStyle w:val="10"/>
              <w:spacing w:after="0"/>
              <w:rPr>
                <w:lang w:val="en-US"/>
              </w:rPr>
            </w:pPr>
          </w:p>
        </w:tc>
        <w:tc>
          <w:tcPr>
            <w:tcW w:w="3260" w:type="dxa"/>
            <w:gridSpan w:val="3"/>
            <w:vAlign w:val="center"/>
          </w:tcPr>
          <w:p w14:paraId="7E01D713" w14:textId="77777777" w:rsidR="00F06189" w:rsidRPr="009960CD" w:rsidRDefault="00F06189" w:rsidP="00DA4C08">
            <w:pPr>
              <w:pStyle w:val="10"/>
              <w:spacing w:after="0"/>
              <w:jc w:val="center"/>
              <w:rPr>
                <w:lang w:val="en-US" w:bidi="he-IL"/>
              </w:rPr>
            </w:pPr>
          </w:p>
        </w:tc>
      </w:tr>
      <w:tr w:rsidR="00F06189" w:rsidRPr="009960CD" w14:paraId="190E101A" w14:textId="77777777" w:rsidTr="00DA4C08">
        <w:trPr>
          <w:trHeight w:val="737"/>
        </w:trPr>
        <w:tc>
          <w:tcPr>
            <w:tcW w:w="3119" w:type="dxa"/>
            <w:gridSpan w:val="2"/>
            <w:vAlign w:val="center"/>
          </w:tcPr>
          <w:p w14:paraId="7BE27C3F" w14:textId="178E90DB" w:rsidR="00F06189" w:rsidRPr="009960CD" w:rsidRDefault="00F06189" w:rsidP="00377045">
            <w:pPr>
              <w:pStyle w:val="10"/>
              <w:spacing w:after="0"/>
              <w:jc w:val="left"/>
              <w:rPr>
                <w:lang w:val="en-US" w:bidi="he-IL"/>
              </w:rPr>
            </w:pPr>
          </w:p>
        </w:tc>
        <w:tc>
          <w:tcPr>
            <w:tcW w:w="4111" w:type="dxa"/>
            <w:vAlign w:val="center"/>
          </w:tcPr>
          <w:p w14:paraId="3AC585B5" w14:textId="218558EB" w:rsidR="00377045" w:rsidRPr="009960CD" w:rsidRDefault="00377045" w:rsidP="005F4405">
            <w:pPr>
              <w:pStyle w:val="10"/>
              <w:spacing w:after="0"/>
              <w:rPr>
                <w:lang w:val="en-US"/>
              </w:rPr>
            </w:pPr>
          </w:p>
        </w:tc>
        <w:tc>
          <w:tcPr>
            <w:tcW w:w="3260" w:type="dxa"/>
            <w:gridSpan w:val="3"/>
            <w:vAlign w:val="center"/>
          </w:tcPr>
          <w:p w14:paraId="46A73E4E" w14:textId="77777777" w:rsidR="00F06189" w:rsidRPr="009960CD" w:rsidRDefault="00F06189" w:rsidP="00DA4C08">
            <w:pPr>
              <w:pStyle w:val="10"/>
              <w:spacing w:after="0"/>
              <w:jc w:val="center"/>
              <w:rPr>
                <w:lang w:val="en-US" w:bidi="he-IL"/>
              </w:rPr>
            </w:pPr>
          </w:p>
        </w:tc>
      </w:tr>
      <w:tr w:rsidR="00F06189" w:rsidRPr="009960CD" w14:paraId="0AD0C712" w14:textId="77777777" w:rsidTr="00DA4C08">
        <w:trPr>
          <w:gridAfter w:val="1"/>
          <w:wAfter w:w="1140" w:type="dxa"/>
          <w:trHeight w:val="737"/>
        </w:trPr>
        <w:tc>
          <w:tcPr>
            <w:tcW w:w="846" w:type="dxa"/>
            <w:vAlign w:val="center"/>
          </w:tcPr>
          <w:p w14:paraId="4B8C8026" w14:textId="6518562B" w:rsidR="00F06189" w:rsidRPr="009960CD" w:rsidRDefault="00F06189" w:rsidP="00377045">
            <w:pPr>
              <w:pStyle w:val="10"/>
              <w:spacing w:after="0"/>
              <w:jc w:val="left"/>
              <w:rPr>
                <w:lang w:val="en-US" w:bidi="he-IL"/>
              </w:rPr>
            </w:pPr>
          </w:p>
        </w:tc>
        <w:tc>
          <w:tcPr>
            <w:tcW w:w="7796" w:type="dxa"/>
            <w:gridSpan w:val="3"/>
            <w:vAlign w:val="center"/>
          </w:tcPr>
          <w:p w14:paraId="681D0F50" w14:textId="3055C2A1" w:rsidR="00F06189" w:rsidRPr="009960CD" w:rsidRDefault="00F06189" w:rsidP="00DA4C08">
            <w:pPr>
              <w:pStyle w:val="10"/>
              <w:spacing w:after="0"/>
              <w:jc w:val="center"/>
              <w:rPr>
                <w:lang w:val="en-US"/>
              </w:rPr>
            </w:pPr>
          </w:p>
        </w:tc>
        <w:tc>
          <w:tcPr>
            <w:tcW w:w="708" w:type="dxa"/>
            <w:vAlign w:val="center"/>
          </w:tcPr>
          <w:p w14:paraId="3DE16447" w14:textId="77777777" w:rsidR="00F06189" w:rsidRPr="009960CD" w:rsidRDefault="00F06189" w:rsidP="00DA4C08">
            <w:pPr>
              <w:pStyle w:val="10"/>
              <w:spacing w:after="0"/>
              <w:jc w:val="center"/>
              <w:rPr>
                <w:lang w:val="en-US" w:bidi="he-IL"/>
              </w:rPr>
            </w:pPr>
          </w:p>
        </w:tc>
      </w:tr>
    </w:tbl>
    <w:p w14:paraId="19201F8A" w14:textId="78BB3636" w:rsidR="00F06189" w:rsidRPr="009960CD" w:rsidRDefault="00F06189" w:rsidP="003A1760">
      <w:pPr>
        <w:pStyle w:val="10"/>
        <w:rPr>
          <w:lang w:val="en-US"/>
        </w:rPr>
      </w:pPr>
      <w:r w:rsidRPr="009960CD">
        <w:rPr>
          <w:lang w:val="en-US"/>
        </w:rPr>
        <w:t>Finally, consider the government</w:t>
      </w:r>
      <w:r w:rsidR="00993FFC" w:rsidRPr="009960CD">
        <w:rPr>
          <w:lang w:val="en-US"/>
        </w:rPr>
        <w:t xml:space="preserve">, which is active in a balanced-budget way only in the second period. Its </w:t>
      </w:r>
      <w:r w:rsidRPr="009960CD">
        <w:rPr>
          <w:lang w:val="en-US"/>
        </w:rPr>
        <w:t>budget constraint 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F06189" w:rsidRPr="009960CD" w14:paraId="2AB90A6B" w14:textId="77777777" w:rsidTr="00DA4C08">
        <w:trPr>
          <w:trHeight w:val="737"/>
        </w:trPr>
        <w:tc>
          <w:tcPr>
            <w:tcW w:w="846" w:type="dxa"/>
            <w:vAlign w:val="center"/>
          </w:tcPr>
          <w:p w14:paraId="0066B9D1" w14:textId="7D695B86" w:rsidR="00F06189" w:rsidRPr="009960CD" w:rsidRDefault="00F06189" w:rsidP="00DA4C08">
            <w:pPr>
              <w:pStyle w:val="10"/>
              <w:spacing w:after="0"/>
              <w:jc w:val="left"/>
              <w:rPr>
                <w:lang w:val="en-US" w:bidi="he-IL"/>
              </w:rPr>
            </w:pPr>
          </w:p>
        </w:tc>
        <w:tc>
          <w:tcPr>
            <w:tcW w:w="7796" w:type="dxa"/>
            <w:vAlign w:val="center"/>
          </w:tcPr>
          <w:p w14:paraId="579E3FA6" w14:textId="2DF6B5B9" w:rsidR="00F06189" w:rsidRPr="009960CD" w:rsidRDefault="00672563" w:rsidP="003B1A96">
            <w:pPr>
              <w:pStyle w:val="10"/>
              <w:spacing w:after="0"/>
              <w:jc w:val="center"/>
              <w:rPr>
                <w:lang w:val="en-US"/>
              </w:rPr>
            </w:pPr>
            <w:r w:rsidRPr="009960CD">
              <w:rPr>
                <w:lang w:val="en-US"/>
              </w:rPr>
              <w:t xml:space="preserve"> (</w:t>
            </w:r>
            <w:r w:rsidR="00D032B8" w:rsidRPr="009960CD">
              <w:rPr>
                <w:lang w:val="en-US"/>
              </w:rPr>
              <w:t>2</w:t>
            </w:r>
            <w:r w:rsidR="003F11C7">
              <w:rPr>
                <w:lang w:val="en-US"/>
              </w:rPr>
              <w:t>1</w:t>
            </w:r>
            <w:r w:rsidRPr="009960CD">
              <w:rPr>
                <w:lang w:val="en-US"/>
              </w:rPr>
              <w:t xml:space="preserve">)                                                   </w:t>
            </w:r>
            <m:oMath>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r>
                <w:rPr>
                  <w:rFonts w:ascii="Cambria Math" w:hAnsi="Cambria Math"/>
                  <w:lang w:val="en-US"/>
                </w:rPr>
                <m:t>B=</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l</m:t>
                  </m:r>
                </m:sub>
              </m:sSub>
              <m:r>
                <w:rPr>
                  <w:rFonts w:ascii="Cambria Math" w:hAnsi="Cambria Math"/>
                  <w:lang w:val="en-US"/>
                </w:rPr>
                <m:t>wL+</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r</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 xml:space="preserve">). </m:t>
              </m:r>
            </m:oMath>
          </w:p>
          <w:p w14:paraId="79D6F5CC" w14:textId="77777777" w:rsidR="008E0DCA" w:rsidRPr="009960CD" w:rsidRDefault="008E0DCA" w:rsidP="00F33664">
            <w:pPr>
              <w:pStyle w:val="10"/>
              <w:spacing w:after="0"/>
              <w:jc w:val="center"/>
              <w:rPr>
                <w:lang w:val="en-US"/>
              </w:rPr>
            </w:pPr>
          </w:p>
          <w:p w14:paraId="7FF341BE" w14:textId="0FBFFB65" w:rsidR="008E0DCA" w:rsidRPr="009960CD" w:rsidRDefault="008E0DCA" w:rsidP="00F33664">
            <w:pPr>
              <w:pStyle w:val="10"/>
              <w:spacing w:after="0"/>
              <w:jc w:val="center"/>
              <w:rPr>
                <w:lang w:val="en-US"/>
              </w:rPr>
            </w:pPr>
          </w:p>
        </w:tc>
        <w:tc>
          <w:tcPr>
            <w:tcW w:w="708" w:type="dxa"/>
            <w:vAlign w:val="center"/>
          </w:tcPr>
          <w:p w14:paraId="322E066B" w14:textId="77777777" w:rsidR="00F06189" w:rsidRPr="009960CD" w:rsidRDefault="00F06189" w:rsidP="00DA4C08">
            <w:pPr>
              <w:pStyle w:val="10"/>
              <w:spacing w:after="0"/>
              <w:jc w:val="center"/>
              <w:rPr>
                <w:lang w:val="en-US" w:bidi="he-IL"/>
              </w:rPr>
            </w:pPr>
          </w:p>
        </w:tc>
      </w:tr>
    </w:tbl>
    <w:p w14:paraId="17D172A8" w14:textId="344A16DF" w:rsidR="00F06189" w:rsidRPr="009960CD" w:rsidRDefault="00F33664" w:rsidP="003B1A96">
      <w:pPr>
        <w:pStyle w:val="10"/>
        <w:rPr>
          <w:lang w:val="en-US"/>
        </w:rPr>
      </w:pPr>
      <w:r w:rsidRPr="009960CD">
        <w:rPr>
          <w:lang w:val="en-US"/>
        </w:rPr>
        <w:t xml:space="preserve">Note that the government </w:t>
      </w:r>
      <w:r w:rsidR="0095174F" w:rsidRPr="009960CD">
        <w:rPr>
          <w:lang w:val="en-US"/>
        </w:rPr>
        <w:t>taxes capital</w:t>
      </w:r>
      <w:r w:rsidRPr="009960CD">
        <w:rPr>
          <w:lang w:val="en-US"/>
        </w:rPr>
        <w:t xml:space="preserve"> income of both domestic residents and </w:t>
      </w:r>
      <w:r w:rsidR="0095174F" w:rsidRPr="009960CD">
        <w:rPr>
          <w:lang w:val="en-US"/>
        </w:rPr>
        <w:t>foreigners</w:t>
      </w:r>
      <w:r w:rsidRPr="009960CD">
        <w:rPr>
          <w:lang w:val="en-US"/>
        </w:rPr>
        <w:t xml:space="preserve"> which originates in the domestic economy,</w:t>
      </w:r>
      <w:r w:rsidR="003B1A96">
        <w:rPr>
          <w:lang w:val="en-US"/>
        </w:rPr>
        <w:t xml:space="preserve"> </w:t>
      </w:r>
      <m:oMath>
        <m:r>
          <w:rPr>
            <w:rFonts w:ascii="Cambria Math" w:hAnsi="Cambria Math"/>
            <w:lang w:val="en-US"/>
          </w:rPr>
          <m:t>r</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oMath>
      <w:r w:rsidRPr="009960CD">
        <w:rPr>
          <w:lang w:val="en-US"/>
        </w:rPr>
        <w:t xml:space="preserve">. This </w:t>
      </w:r>
      <w:r w:rsidR="00FD01CD" w:rsidRPr="009960CD">
        <w:rPr>
          <w:lang w:val="en-US"/>
        </w:rPr>
        <w:t>means that</w:t>
      </w:r>
      <w:r w:rsidRPr="009960CD">
        <w:rPr>
          <w:lang w:val="en-US"/>
        </w:rPr>
        <w:t xml:space="preserve"> when saving of domestic </w:t>
      </w:r>
      <w:r w:rsidRPr="009960CD">
        <w:rPr>
          <w:lang w:val="en-US"/>
        </w:rPr>
        <w:lastRenderedPageBreak/>
        <w:t xml:space="preserve">residents exceeds domestic investment,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oMath>
      <w:r w:rsidRPr="009960CD">
        <w:rPr>
          <w:lang w:val="en-US"/>
        </w:rPr>
        <w:t xml:space="preserve">, with the excess invested abroad, then this excess is not taxed at home. Converesely, when savings of domestic residents fall short of domestic investment,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oMath>
      <w:r w:rsidRPr="009960CD">
        <w:rPr>
          <w:lang w:val="en-US"/>
        </w:rPr>
        <w:t xml:space="preserve">, </w:t>
      </w:r>
      <w:r w:rsidR="00BB3E0D" w:rsidRPr="009960CD">
        <w:rPr>
          <w:lang w:val="en-US"/>
        </w:rPr>
        <w:t>with the shortage financed by foreigners, then this shortage is taxed by the domestic government.</w:t>
      </w:r>
    </w:p>
    <w:p w14:paraId="59284AF5" w14:textId="77777777" w:rsidR="00F06189" w:rsidRPr="009960CD" w:rsidRDefault="00F06189" w:rsidP="00F06189">
      <w:pPr>
        <w:pStyle w:val="10"/>
        <w:rPr>
          <w:lang w:val="en-US"/>
        </w:rPr>
      </w:pPr>
      <w:r w:rsidRPr="009960CD">
        <w:rPr>
          <w:lang w:val="en-US"/>
        </w:rPr>
        <w:t>Clearance in the goods market in period 1, and period 2, respectively, yields: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075"/>
        <w:gridCol w:w="708"/>
      </w:tblGrid>
      <w:tr w:rsidR="00F06189" w:rsidRPr="009960CD" w14:paraId="093B5CEB" w14:textId="77777777" w:rsidTr="00DA4C08">
        <w:trPr>
          <w:trHeight w:val="737"/>
        </w:trPr>
        <w:tc>
          <w:tcPr>
            <w:tcW w:w="567" w:type="dxa"/>
            <w:vAlign w:val="center"/>
          </w:tcPr>
          <w:p w14:paraId="79D06E1F" w14:textId="05EC1564" w:rsidR="00F06189" w:rsidRPr="009960CD" w:rsidRDefault="00F06189" w:rsidP="00D032B8">
            <w:pPr>
              <w:pStyle w:val="10"/>
              <w:spacing w:after="0"/>
              <w:jc w:val="left"/>
              <w:rPr>
                <w:lang w:val="en-US" w:bidi="he-IL"/>
              </w:rPr>
            </w:pPr>
            <w:r w:rsidRPr="009960CD">
              <w:rPr>
                <w:iCs/>
                <w:lang w:val="en-US"/>
              </w:rPr>
              <w:t>(</w:t>
            </w:r>
            <w:r w:rsidR="00664BE5" w:rsidRPr="009960CD">
              <w:rPr>
                <w:noProof/>
                <w:lang w:val="en-US"/>
              </w:rPr>
              <w:t>2</w:t>
            </w:r>
            <w:r w:rsidR="00D032B8" w:rsidRPr="009960CD">
              <w:rPr>
                <w:noProof/>
                <w:lang w:val="en-US"/>
              </w:rPr>
              <w:t>2</w:t>
            </w:r>
            <w:r w:rsidRPr="009960CD">
              <w:rPr>
                <w:iCs/>
                <w:lang w:val="en-US"/>
              </w:rPr>
              <w:t>)</w:t>
            </w:r>
          </w:p>
        </w:tc>
        <w:tc>
          <w:tcPr>
            <w:tcW w:w="8075" w:type="dxa"/>
            <w:vAlign w:val="center"/>
          </w:tcPr>
          <w:p w14:paraId="0051F8E1" w14:textId="5FCC7FF7" w:rsidR="00F06189" w:rsidRPr="009960CD" w:rsidRDefault="00F06189" w:rsidP="003B1A96">
            <w:pPr>
              <w:pStyle w:val="10"/>
              <w:spacing w:after="0"/>
              <w:jc w:val="center"/>
              <w:rPr>
                <w:lang w:val="en-US"/>
              </w:rPr>
            </w:pPr>
            <m:oMathPara>
              <m:oMath>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 xml:space="preserve">xu1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yu1</m:t>
                        </m:r>
                      </m:sub>
                    </m:sSub>
                    <m:r>
                      <w:rPr>
                        <w:rFonts w:ascii="Cambria Math" w:hAnsi="Cambria Math"/>
                        <w:lang w:val="en-US"/>
                      </w:rPr>
                      <m:t>)</m:t>
                    </m:r>
                  </m:e>
                </m:d>
                <m:r>
                  <w:rPr>
                    <w:rFonts w:ascii="Cambria Math" w:hAnsi="Cambria Math"/>
                    <w:lang w:val="en-US"/>
                  </w:rPr>
                  <m:t>+</m:t>
                </m:r>
                <m:d>
                  <m:dPr>
                    <m:ctrlPr>
                      <w:rPr>
                        <w:rFonts w:ascii="Cambria Math" w:hAnsi="Cambria Math"/>
                        <w:i/>
                        <w:lang w:val="en-US"/>
                      </w:rPr>
                    </m:ctrlPr>
                  </m:dPr>
                  <m:e>
                    <m:r>
                      <m:rPr>
                        <m:sty m:val="p"/>
                      </m:rPr>
                      <w:rPr>
                        <w:rFonts w:ascii="Cambria Math" w:hAnsi="Cambria Math"/>
                        <w:lang w:val="en-US"/>
                      </w:rPr>
                      <m:t>λ</m:t>
                    </m:r>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d>
                  <m:dPr>
                    <m:ctrlPr>
                      <w:rPr>
                        <w:rFonts w:ascii="Cambria Math" w:hAnsi="Cambria Math"/>
                        <w:i/>
                        <w:lang w:val="en-US"/>
                      </w:rPr>
                    </m:ctrlPr>
                  </m:dPr>
                  <m:e>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 xml:space="preserve">xs1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ys1</m:t>
                        </m:r>
                      </m:sub>
                    </m:sSub>
                  </m:e>
                </m:d>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r>
                      <w:rPr>
                        <w:rFonts w:ascii="Cambria Math" w:hAnsi="Cambria Math"/>
                        <w:lang w:val="en-US"/>
                      </w:rPr>
                      <m:t>(</m:t>
                    </m:r>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u</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y</m:t>
                        </m:r>
                      </m:e>
                    </m:acc>
                  </m:e>
                  <m:sub>
                    <m:r>
                      <w:rPr>
                        <w:rFonts w:ascii="Cambria Math" w:hAnsi="Cambria Math"/>
                        <w:lang w:val="en-US"/>
                      </w:rPr>
                      <m:t>u</m:t>
                    </m:r>
                  </m:sub>
                </m:sSub>
                <m:sSub>
                  <m:sSubPr>
                    <m:ctrlPr>
                      <w:rPr>
                        <w:rFonts w:ascii="Cambria Math" w:hAnsi="Cambria Math"/>
                        <w:i/>
                        <w:lang w:val="en-US"/>
                      </w:rPr>
                    </m:ctrlPr>
                  </m:sSubPr>
                  <m:e>
                    <m:r>
                      <w:rPr>
                        <w:rFonts w:ascii="Cambria Math" w:hAnsi="Cambria Math"/>
                        <w:lang w:val="en-US"/>
                      </w:rPr>
                      <m:t xml:space="preserve"> )+ </m:t>
                    </m:r>
                    <m:d>
                      <m:dPr>
                        <m:ctrlPr>
                          <w:rPr>
                            <w:rFonts w:ascii="Cambria Math" w:hAnsi="Cambria Math"/>
                            <w:i/>
                            <w:lang w:val="en-US"/>
                          </w:rPr>
                        </m:ctrlPr>
                      </m:dPr>
                      <m:e>
                        <m:r>
                          <m:rPr>
                            <m:sty m:val="p"/>
                          </m:rPr>
                          <w:rPr>
                            <w:rFonts w:ascii="Cambria Math" w:hAnsi="Cambria Math"/>
                            <w:lang w:val="en-US"/>
                          </w:rPr>
                          <m:t>λ</m:t>
                        </m:r>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r>
                      <w:rPr>
                        <w:rFonts w:ascii="Cambria Math" w:hAnsi="Cambria Math"/>
                        <w:lang w:val="en-US"/>
                      </w:rPr>
                      <m:t xml:space="preserve">( </m:t>
                    </m:r>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y</m:t>
                        </m:r>
                      </m:e>
                    </m:acc>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r>
                          <w:rPr>
                            <w:rFonts w:ascii="Cambria Math" w:hAnsi="Cambria Math"/>
                            <w:lang w:val="en-US"/>
                          </w:rPr>
                          <m:t xml:space="preserve"> </m:t>
                        </m:r>
                      </m:e>
                    </m:d>
                    <m:r>
                      <w:rPr>
                        <w:rFonts w:ascii="Cambria Math" w:hAnsi="Cambria Math"/>
                        <w:lang w:val="en-US"/>
                      </w:rPr>
                      <m:t>S</m:t>
                    </m:r>
                  </m:e>
                  <m:sub>
                    <m:r>
                      <w:rPr>
                        <w:rFonts w:ascii="Cambria Math" w:hAnsi="Cambria Math"/>
                        <w:lang w:val="en-US"/>
                      </w:rPr>
                      <m:t>u</m:t>
                    </m:r>
                  </m:sub>
                </m:sSub>
                <m:r>
                  <w:rPr>
                    <w:rFonts w:ascii="Cambria Math" w:hAnsi="Cambria Math"/>
                    <w:lang w:val="en-US"/>
                  </w:rPr>
                  <m:t>+(</m:t>
                </m:r>
                <m:r>
                  <m:rPr>
                    <m:sty m:val="p"/>
                  </m:rPr>
                  <w:rPr>
                    <w:rFonts w:ascii="Cambria Math" w:hAnsi="Cambria Math"/>
                    <w:lang w:val="en-US"/>
                  </w:rPr>
                  <m:t xml:space="preserve"> </m:t>
                </m:r>
                <m:sSub>
                  <m:sSubPr>
                    <m:ctrlPr>
                      <w:rPr>
                        <w:rFonts w:ascii="Cambria Math" w:hAnsi="Cambria Math"/>
                        <w:i/>
                        <w:lang w:val="en-US"/>
                      </w:rPr>
                    </m:ctrlPr>
                  </m:sSubPr>
                  <m:e>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)S</m:t>
                    </m:r>
                  </m:e>
                  <m:sub>
                    <m:r>
                      <w:rPr>
                        <w:rFonts w:ascii="Cambria Math" w:hAnsi="Cambria Math"/>
                        <w:lang w:val="en-US"/>
                      </w:rPr>
                      <m:t>s</m:t>
                    </m:r>
                  </m:sub>
                </m:sSub>
                <m:r>
                  <w:rPr>
                    <w:rFonts w:ascii="Cambria Math" w:hAnsi="Cambria Math"/>
                    <w:lang w:val="en-US"/>
                  </w:rPr>
                  <m:t xml:space="preserve">] </m:t>
                </m:r>
              </m:oMath>
            </m:oMathPara>
          </w:p>
          <w:p w14:paraId="4C1D824A" w14:textId="63C56E3B" w:rsidR="00793EA9" w:rsidRPr="009960CD" w:rsidRDefault="00793EA9" w:rsidP="00793EA9">
            <w:pPr>
              <w:pStyle w:val="10"/>
              <w:spacing w:after="0"/>
              <w:jc w:val="left"/>
              <w:rPr>
                <w:lang w:val="en-US"/>
              </w:rPr>
            </w:pPr>
            <w:r w:rsidRPr="009960CD">
              <w:rPr>
                <w:lang w:val="en-US"/>
              </w:rPr>
              <w:t>and</w:t>
            </w:r>
          </w:p>
        </w:tc>
        <w:tc>
          <w:tcPr>
            <w:tcW w:w="708" w:type="dxa"/>
            <w:vAlign w:val="center"/>
          </w:tcPr>
          <w:p w14:paraId="231C216F" w14:textId="77777777" w:rsidR="00F06189" w:rsidRPr="009960CD" w:rsidRDefault="00F06189" w:rsidP="00DA4C08">
            <w:pPr>
              <w:pStyle w:val="10"/>
              <w:spacing w:after="0"/>
              <w:jc w:val="center"/>
              <w:rPr>
                <w:lang w:val="en-US" w:bidi="he-IL"/>
              </w:rPr>
            </w:pPr>
          </w:p>
        </w:tc>
      </w:tr>
      <w:tr w:rsidR="00F06189" w:rsidRPr="009960CD" w14:paraId="7F04F5DF" w14:textId="77777777" w:rsidTr="00DA4C08">
        <w:trPr>
          <w:trHeight w:val="737"/>
        </w:trPr>
        <w:tc>
          <w:tcPr>
            <w:tcW w:w="567" w:type="dxa"/>
            <w:vAlign w:val="center"/>
          </w:tcPr>
          <w:p w14:paraId="456862AF" w14:textId="2A62BF6B" w:rsidR="00F06189" w:rsidRPr="009960CD" w:rsidRDefault="00F06189" w:rsidP="00D032B8">
            <w:pPr>
              <w:pStyle w:val="10"/>
              <w:spacing w:after="0"/>
              <w:jc w:val="left"/>
              <w:rPr>
                <w:lang w:val="en-US" w:bidi="he-IL"/>
              </w:rPr>
            </w:pPr>
            <w:r w:rsidRPr="009960CD">
              <w:rPr>
                <w:iCs/>
                <w:lang w:val="en-US"/>
              </w:rPr>
              <w:t>(</w:t>
            </w:r>
            <w:r w:rsidR="00664BE5" w:rsidRPr="009960CD">
              <w:rPr>
                <w:noProof/>
                <w:lang w:val="en-US"/>
              </w:rPr>
              <w:t>2</w:t>
            </w:r>
            <w:r w:rsidR="00D032B8" w:rsidRPr="009960CD">
              <w:rPr>
                <w:noProof/>
                <w:lang w:val="en-US"/>
              </w:rPr>
              <w:t>3</w:t>
            </w:r>
            <w:r w:rsidRPr="009960CD">
              <w:rPr>
                <w:iCs/>
                <w:lang w:val="en-US"/>
              </w:rPr>
              <w:t>)</w:t>
            </w:r>
          </w:p>
        </w:tc>
        <w:tc>
          <w:tcPr>
            <w:tcW w:w="8075" w:type="dxa"/>
            <w:vAlign w:val="center"/>
          </w:tcPr>
          <w:p w14:paraId="509EC012" w14:textId="6B7A3081" w:rsidR="00F06189" w:rsidRPr="009960CD" w:rsidRDefault="00F06189" w:rsidP="00793EA9">
            <w:pPr>
              <w:pStyle w:val="10"/>
              <w:rPr>
                <w:lang w:val="en-US"/>
              </w:rPr>
            </w:pPr>
            <w:r w:rsidRPr="009960CD">
              <w:rPr>
                <w:lang w:val="en-US"/>
              </w:rPr>
              <w:t xml:space="preserve"> </w:t>
            </w:r>
            <m:oMath>
              <m:d>
                <m:dPr>
                  <m:ctrlPr>
                    <w:rPr>
                      <w:rFonts w:ascii="Cambria Math" w:hAnsi="Cambria Math"/>
                      <w:i/>
                      <w:lang w:val="en-US"/>
                    </w:rPr>
                  </m:ctrlPr>
                </m:dPr>
                <m:e>
                  <m:r>
                    <w:rPr>
                      <w:rFonts w:ascii="Cambria Math" w:hAnsi="Cambria Math"/>
                      <w:lang w:val="en-US"/>
                    </w:rPr>
                    <m:t>1-λ</m:t>
                  </m:r>
                </m:e>
              </m:d>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xu2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yu2</m:t>
                      </m:r>
                    </m:sub>
                  </m:sSub>
                </m:e>
              </m:d>
              <m:r>
                <w:rPr>
                  <w:rFonts w:ascii="Cambria Math" w:hAnsi="Cambria Math"/>
                  <w:lang w:val="en-US"/>
                </w:rPr>
                <m:t>+</m:t>
              </m:r>
              <m:d>
                <m:dPr>
                  <m:ctrlPr>
                    <w:rPr>
                      <w:rFonts w:ascii="Cambria Math" w:hAnsi="Cambria Math"/>
                      <w:i/>
                      <w:lang w:val="en-US"/>
                    </w:rPr>
                  </m:ctrlPr>
                </m:dPr>
                <m:e>
                  <m:r>
                    <w:rPr>
                      <w:rFonts w:ascii="Cambria Math" w:hAnsi="Cambria Math"/>
                      <w:lang w:val="en-US"/>
                    </w:rPr>
                    <m:t>λ-</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xs2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ys2</m:t>
                      </m:r>
                    </m:sub>
                  </m:sSub>
                </m:e>
              </m:d>
              <m:r>
                <w:rPr>
                  <w:rFonts w:ascii="Cambria Math" w:hAnsi="Cambria Math"/>
                  <w:lang w:val="en-US"/>
                </w:rPr>
                <m:t>+</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r>
                <w:rPr>
                  <w:rFonts w:ascii="Cambria Math" w:hAnsi="Cambria Math"/>
                  <w:lang w:val="en-US"/>
                </w:rPr>
                <m:t>B=</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x</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x</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y</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y</m:t>
                      </m:r>
                    </m:sub>
                  </m:sSub>
                </m:e>
              </m:d>
              <m:r>
                <w:rPr>
                  <w:rFonts w:ascii="Cambria Math" w:hAnsi="Cambria Math"/>
                  <w:lang w:val="en-US"/>
                </w:rPr>
                <m:t xml:space="preserve">+[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u</m:t>
                  </m:r>
                </m:sub>
                <m:sup/>
              </m:sSubSup>
              <m:r>
                <w:rPr>
                  <w:rFonts w:ascii="Cambria Math" w:hAnsi="Cambria Math"/>
                  <w:lang w:val="en-US"/>
                </w:rPr>
                <m:t>+</m:t>
              </m:r>
              <m:d>
                <m:dPr>
                  <m:ctrlPr>
                    <w:rPr>
                      <w:rFonts w:ascii="Cambria Math" w:hAnsi="Cambria Math"/>
                      <w:i/>
                      <w:lang w:val="en-US"/>
                    </w:rPr>
                  </m:ctrlPr>
                </m:dPr>
                <m:e>
                  <m:r>
                    <w:rPr>
                      <w:rFonts w:ascii="Cambria Math" w:hAnsi="Cambria Math"/>
                      <w:lang w:val="en-US"/>
                    </w:rPr>
                    <m:t>λ-</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s</m:t>
                  </m:r>
                </m:sub>
                <m:sup/>
              </m:sSubSup>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CF</m:t>
                  </m:r>
                </m:sub>
              </m:sSub>
            </m:oMath>
            <w:r w:rsidR="00793EA9" w:rsidRPr="009960CD">
              <w:rPr>
                <w:lang w:val="en-US"/>
              </w:rPr>
              <w:t>,</w:t>
            </w:r>
          </w:p>
        </w:tc>
        <w:tc>
          <w:tcPr>
            <w:tcW w:w="708" w:type="dxa"/>
            <w:vAlign w:val="center"/>
          </w:tcPr>
          <w:p w14:paraId="25315665" w14:textId="77777777" w:rsidR="00F06189" w:rsidRPr="009960CD" w:rsidRDefault="00F06189" w:rsidP="00DA4C08">
            <w:pPr>
              <w:pStyle w:val="10"/>
              <w:spacing w:after="0"/>
              <w:jc w:val="center"/>
              <w:rPr>
                <w:lang w:val="en-US" w:bidi="he-IL"/>
              </w:rPr>
            </w:pPr>
          </w:p>
          <w:p w14:paraId="70CC15BD" w14:textId="77777777" w:rsidR="00793EA9" w:rsidRPr="009960CD" w:rsidRDefault="00793EA9" w:rsidP="00DA4C08">
            <w:pPr>
              <w:pStyle w:val="10"/>
              <w:spacing w:after="0"/>
              <w:jc w:val="center"/>
              <w:rPr>
                <w:lang w:val="en-US" w:bidi="he-IL"/>
              </w:rPr>
            </w:pPr>
          </w:p>
          <w:p w14:paraId="753B4CF9" w14:textId="77777777" w:rsidR="00793EA9" w:rsidRPr="009960CD" w:rsidRDefault="00793EA9" w:rsidP="00DA4C08">
            <w:pPr>
              <w:pStyle w:val="10"/>
              <w:spacing w:after="0"/>
              <w:jc w:val="center"/>
              <w:rPr>
                <w:lang w:val="en-US" w:bidi="he-IL"/>
              </w:rPr>
            </w:pPr>
          </w:p>
        </w:tc>
      </w:tr>
    </w:tbl>
    <w:p w14:paraId="606AE493" w14:textId="6102C372" w:rsidR="00793EA9" w:rsidRPr="009960CD" w:rsidRDefault="00793EA9" w:rsidP="00F06189">
      <w:pPr>
        <w:pStyle w:val="10"/>
        <w:rPr>
          <w:lang w:val="en-US"/>
        </w:rPr>
      </w:pPr>
      <w:r w:rsidRPr="009960CD">
        <w:rPr>
          <w:lang w:val="en-US"/>
        </w:rPr>
        <w:t xml:space="preserve">where </w:t>
      </w:r>
    </w:p>
    <w:p w14:paraId="04B4EC60" w14:textId="7CE6D3DF" w:rsidR="00793EA9" w:rsidRPr="009960CD" w:rsidRDefault="00793EA9" w:rsidP="003B1A96">
      <w:pPr>
        <w:pStyle w:val="10"/>
        <w:rPr>
          <w:lang w:val="en-US"/>
        </w:rPr>
      </w:pPr>
      <w:r w:rsidRPr="009960CD">
        <w:rPr>
          <w:lang w:val="en-US"/>
        </w:rPr>
        <w:t>(2</w:t>
      </w:r>
      <w:r w:rsidR="00D032B8" w:rsidRPr="009960CD">
        <w:rPr>
          <w:lang w:val="en-US"/>
        </w:rPr>
        <w:t>4</w:t>
      </w:r>
      <w:r w:rsidRPr="009960CD">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CF</m:t>
            </m:r>
          </m:sub>
        </m:sSub>
      </m:oMath>
      <w:r w:rsidRPr="009960CD">
        <w:rPr>
          <w:lang w:val="en-US"/>
        </w:rPr>
        <w:t xml:space="preserve">   =  </w:t>
      </w:r>
      <m:oMath>
        <m:sSubSup>
          <m:sSubSupPr>
            <m:ctrlPr>
              <w:rPr>
                <w:rFonts w:ascii="Cambria Math" w:hAnsi="Cambria Math"/>
                <w:i/>
                <w:lang w:val="en-US"/>
              </w:rPr>
            </m:ctrlPr>
          </m:sSubSupPr>
          <m:e>
            <m:r>
              <w:rPr>
                <w:rFonts w:ascii="Cambria Math" w:hAnsi="Cambria Math"/>
                <w:lang w:val="en-US"/>
              </w:rPr>
              <m:t>∁</m:t>
            </m:r>
          </m:e>
          <m:sub>
            <m:sSub>
              <m:sSubPr>
                <m:ctrlPr>
                  <w:rPr>
                    <w:rFonts w:ascii="Cambria Math" w:hAnsi="Cambria Math"/>
                    <w:i/>
                    <w:lang w:val="en-US"/>
                  </w:rPr>
                </m:ctrlPr>
              </m:sSubPr>
              <m:e/>
              <m:sub>
                <m:r>
                  <w:rPr>
                    <w:rFonts w:ascii="Cambria Math" w:hAnsi="Cambria Math"/>
                    <w:lang w:val="en-US"/>
                  </w:rPr>
                  <m:t xml:space="preserve">1 +  </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 xml:space="preserve">r                                         if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u</m:t>
                    </m:r>
                  </m:sub>
                  <m:sup/>
                </m:sSubSup>
                <m:r>
                  <w:rPr>
                    <w:rFonts w:ascii="Cambria Math" w:hAnsi="Cambria Math"/>
                    <w:lang w:val="en-US"/>
                  </w:rPr>
                  <m:t>+</m:t>
                </m:r>
                <m:d>
                  <m:dPr>
                    <m:ctrlPr>
                      <w:rPr>
                        <w:rFonts w:ascii="Cambria Math" w:hAnsi="Cambria Math"/>
                        <w:i/>
                        <w:lang w:val="en-US"/>
                      </w:rPr>
                    </m:ctrlPr>
                  </m:dPr>
                  <m:e>
                    <m:r>
                      <w:rPr>
                        <w:rFonts w:ascii="Cambria Math" w:hAnsi="Cambria Math"/>
                        <w:lang w:val="en-US"/>
                      </w:rPr>
                      <m:t>λ-</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s</m:t>
                    </m:r>
                  </m:sub>
                  <m:sup/>
                </m:sSubSup>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 xml:space="preserve">)    </m:t>
                </m:r>
              </m:sub>
            </m:sSub>
          </m:sub>
          <m:sup>
            <m:sSup>
              <m:sSupPr>
                <m:ctrlPr>
                  <w:rPr>
                    <w:rFonts w:ascii="Cambria Math" w:hAnsi="Cambria Math"/>
                    <w:i/>
                    <w:lang w:val="en-US"/>
                  </w:rPr>
                </m:ctrlPr>
              </m:sSupPr>
              <m:e/>
              <m:sup>
                <m:r>
                  <w:rPr>
                    <w:rFonts w:ascii="Cambria Math" w:hAnsi="Cambria Math"/>
                    <w:lang w:val="en-US"/>
                  </w:rPr>
                  <m:t xml:space="preserve">1+ </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r>
                  <w:rPr>
                    <w:rFonts w:ascii="Cambria Math" w:hAnsi="Cambria Math"/>
                    <w:lang w:val="en-US"/>
                  </w:rPr>
                  <m:t xml:space="preserve">                                          if    </m:t>
                </m:r>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u</m:t>
                    </m:r>
                  </m:sub>
                  <m:sup/>
                </m:sSubSup>
                <m:r>
                  <w:rPr>
                    <w:rFonts w:ascii="Cambria Math" w:hAnsi="Cambria Math"/>
                    <w:lang w:val="en-US"/>
                  </w:rPr>
                  <m:t>+</m:t>
                </m:r>
                <m:d>
                  <m:dPr>
                    <m:ctrlPr>
                      <w:rPr>
                        <w:rFonts w:ascii="Cambria Math" w:hAnsi="Cambria Math"/>
                        <w:i/>
                        <w:lang w:val="en-US"/>
                      </w:rPr>
                    </m:ctrlPr>
                  </m:dPr>
                  <m:e>
                    <m:r>
                      <w:rPr>
                        <w:rFonts w:ascii="Cambria Math" w:hAnsi="Cambria Math"/>
                        <w:lang w:val="en-US"/>
                      </w:rPr>
                      <m:t>λ-</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s</m:t>
                    </m:r>
                  </m:sub>
                  <m:sup/>
                </m:sSubSup>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 xml:space="preserve">) </m:t>
                </m:r>
              </m:sup>
            </m:sSup>
            <m:r>
              <w:rPr>
                <w:rFonts w:ascii="Cambria Math" w:hAnsi="Cambria Math"/>
                <w:lang w:val="en-US"/>
              </w:rPr>
              <m:t xml:space="preserve"> </m:t>
            </m:r>
          </m:sup>
        </m:sSubSup>
      </m:oMath>
      <w:r w:rsidRPr="009960CD">
        <w:rPr>
          <w:lang w:val="en-US"/>
        </w:rPr>
        <w:t>.</w:t>
      </w:r>
    </w:p>
    <w:p w14:paraId="7FCFD169" w14:textId="08D6F1AC" w:rsidR="00793EA9" w:rsidRPr="009960CD" w:rsidRDefault="00793EA9" w:rsidP="003B1A96">
      <w:pPr>
        <w:pStyle w:val="10"/>
        <w:rPr>
          <w:lang w:val="en-US"/>
        </w:rPr>
      </w:pPr>
      <w:r w:rsidRPr="009960CD">
        <w:rPr>
          <w:lang w:val="en-US"/>
        </w:rPr>
        <w:t>Note that when the country exports capital (that is</w:t>
      </w:r>
      <w:r w:rsidR="00DA138B" w:rsidRPr="009960CD">
        <w:rPr>
          <w:lang w:val="en-US"/>
        </w:rPr>
        <w:t xml:space="preserve">, </w:t>
      </w:r>
      <w:r w:rsidRPr="009960CD">
        <w:rPr>
          <w:lang w:val="en-US"/>
        </w:rPr>
        <w:t xml:space="preserve"> </w:t>
      </w:r>
      <m:oMath>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u</m:t>
            </m:r>
          </m:sub>
          <m:sup/>
        </m:sSubSup>
        <m:r>
          <w:rPr>
            <w:rFonts w:ascii="Cambria Math" w:hAnsi="Cambria Math"/>
            <w:lang w:val="en-US"/>
          </w:rPr>
          <m:t>+</m:t>
        </m:r>
        <m:d>
          <m:dPr>
            <m:ctrlPr>
              <w:rPr>
                <w:rFonts w:ascii="Cambria Math" w:hAnsi="Cambria Math"/>
                <w:i/>
                <w:lang w:val="en-US"/>
              </w:rPr>
            </m:ctrlPr>
          </m:dPr>
          <m:e>
            <m:r>
              <w:rPr>
                <w:rFonts w:ascii="Cambria Math" w:hAnsi="Cambria Math"/>
                <w:lang w:val="en-US"/>
              </w:rPr>
              <m:t>λ-</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s</m:t>
            </m:r>
          </m:sub>
          <m:sup/>
        </m:sSubSup>
        <m:r>
          <w:rPr>
            <w:rFonts w:ascii="Cambria Math" w:hAnsi="Cambria Math"/>
            <w:lang w:val="en-US"/>
          </w:rPr>
          <m:t xml:space="preserve">&gt;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oMath>
      <w:r w:rsidR="00DA138B" w:rsidRPr="009960CD">
        <w:rPr>
          <w:lang w:val="en-US"/>
        </w:rPr>
        <w:t xml:space="preserve">,  then it incurrs the cost of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DA138B" w:rsidRPr="009960CD">
        <w:rPr>
          <w:lang w:val="en-US"/>
        </w:rPr>
        <w:t xml:space="preserve"> on its capital exports. Conversely, when foreigners invest in the domestic economy (that is, </w:t>
      </w:r>
      <m:oMath>
        <m:d>
          <m:dPr>
            <m:ctrlPr>
              <w:rPr>
                <w:rFonts w:ascii="Cambria Math" w:hAnsi="Cambria Math"/>
                <w:i/>
                <w:lang w:val="en-US"/>
              </w:rPr>
            </m:ctrlPr>
          </m:dPr>
          <m:e>
            <m:r>
              <w:rPr>
                <w:rFonts w:ascii="Cambria Math" w:hAnsi="Cambria Math"/>
                <w:lang w:val="en-US"/>
              </w:rPr>
              <m:t>1-</m:t>
            </m:r>
            <m:r>
              <m:rPr>
                <m:sty m:val="p"/>
              </m:rPr>
              <w:rPr>
                <w:rFonts w:ascii="Cambria Math" w:hAnsi="Cambria Math"/>
                <w:lang w:val="en-US"/>
              </w:rPr>
              <m:t>λ</m:t>
            </m:r>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u</m:t>
            </m:r>
          </m:sub>
          <m:sup/>
        </m:sSubSup>
        <m:r>
          <w:rPr>
            <w:rFonts w:ascii="Cambria Math" w:hAnsi="Cambria Math"/>
            <w:lang w:val="en-US"/>
          </w:rPr>
          <m:t>+</m:t>
        </m:r>
        <m:d>
          <m:dPr>
            <m:ctrlPr>
              <w:rPr>
                <w:rFonts w:ascii="Cambria Math" w:hAnsi="Cambria Math"/>
                <w:i/>
                <w:lang w:val="en-US"/>
              </w:rPr>
            </m:ctrlPr>
          </m:dPr>
          <m:e>
            <m:r>
              <w:rPr>
                <w:rFonts w:ascii="Cambria Math" w:hAnsi="Cambria Math"/>
                <w:lang w:val="en-US"/>
              </w:rPr>
              <m:t>λ-</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e>
        </m:d>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s</m:t>
            </m:r>
          </m:sub>
          <m:sup/>
        </m:sSubSup>
        <m:r>
          <w:rPr>
            <w:rFonts w:ascii="Cambria Math" w:hAnsi="Cambria Math"/>
            <w:lang w:val="en-US"/>
          </w:rPr>
          <m:t xml:space="preserve">&lt;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x</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y</m:t>
            </m:r>
          </m:sub>
        </m:sSub>
        <m:r>
          <w:rPr>
            <w:rFonts w:ascii="Cambria Math" w:hAnsi="Cambria Math"/>
            <w:lang w:val="en-US"/>
          </w:rPr>
          <m:t>))</m:t>
        </m:r>
      </m:oMath>
      <w:r w:rsidR="00DA138B" w:rsidRPr="009960CD">
        <w:rPr>
          <w:lang w:val="en-US"/>
        </w:rPr>
        <w:t xml:space="preserve">, then the country </w:t>
      </w:r>
      <w:r w:rsidR="00DA138B" w:rsidRPr="009960CD">
        <w:rPr>
          <w:lang w:val="en-US"/>
        </w:rPr>
        <w:lastRenderedPageBreak/>
        <w:t xml:space="preserve">pays foreiners only </w:t>
      </w:r>
      <m:oMath>
        <m:r>
          <w:rPr>
            <w:rFonts w:ascii="Cambria Math" w:hAnsi="Cambria Math"/>
            <w:lang w:val="en-US"/>
          </w:rPr>
          <m:t xml:space="preserve">1 +  </m:t>
        </m:r>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e>
        </m:d>
        <m:r>
          <w:rPr>
            <w:rFonts w:ascii="Cambria Math" w:hAnsi="Cambria Math"/>
            <w:lang w:val="en-US"/>
          </w:rPr>
          <m:t>r</m:t>
        </m:r>
      </m:oMath>
      <w:r w:rsidR="00DA138B" w:rsidRPr="009960CD">
        <w:rPr>
          <w:lang w:val="en-US"/>
        </w:rPr>
        <w:t xml:space="preserve"> , because  they are taxed on the</w:t>
      </w:r>
      <w:r w:rsidR="00761CD0" w:rsidRPr="009960CD">
        <w:rPr>
          <w:lang w:val="en-US"/>
        </w:rPr>
        <w:t xml:space="preserve">ir  income originating in the domestic economy; foreigners bears the friction cost </w:t>
      </w:r>
      <w:r w:rsidR="00DA138B" w:rsidRPr="009960CD">
        <w:rPr>
          <w:lang w:val="en-US"/>
        </w:rPr>
        <w:t xml:space="preserv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761CD0" w:rsidRPr="009960CD">
        <w:rPr>
          <w:lang w:val="en-US"/>
        </w:rPr>
        <w:t xml:space="preserve"> in this case.</w:t>
      </w:r>
      <w:r w:rsidR="003B1A96">
        <w:rPr>
          <w:lang w:val="en-US"/>
        </w:rPr>
        <w:t xml:space="preserve"> Note, however, that it follows from equations (13) – (14) that equation (22) is redundant, as it merely states that exports/imports of goods and capital are allowed.</w:t>
      </w:r>
    </w:p>
    <w:p w14:paraId="62A1AC91" w14:textId="77777777" w:rsidR="00793EA9" w:rsidRPr="009960CD" w:rsidRDefault="00793EA9" w:rsidP="00F06189">
      <w:pPr>
        <w:pStyle w:val="10"/>
        <w:rPr>
          <w:lang w:val="en-US"/>
        </w:rPr>
      </w:pPr>
    </w:p>
    <w:p w14:paraId="71167521" w14:textId="1C7B8644" w:rsidR="00F06189" w:rsidRPr="009960CD" w:rsidRDefault="00672563" w:rsidP="00672563">
      <w:pPr>
        <w:pStyle w:val="10"/>
        <w:rPr>
          <w:lang w:val="en-US"/>
        </w:rPr>
      </w:pPr>
      <w:r w:rsidRPr="009960CD">
        <w:rPr>
          <w:lang w:val="en-US"/>
        </w:rPr>
        <w:t>C</w:t>
      </w:r>
      <w:r w:rsidR="00F06189" w:rsidRPr="009960CD">
        <w:rPr>
          <w:lang w:val="en-US"/>
        </w:rPr>
        <w:t>learance in the labor market yields: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F06189" w:rsidRPr="009960CD" w14:paraId="64BB2078" w14:textId="77777777" w:rsidTr="00DA4C08">
        <w:trPr>
          <w:trHeight w:val="737"/>
        </w:trPr>
        <w:tc>
          <w:tcPr>
            <w:tcW w:w="846" w:type="dxa"/>
            <w:vAlign w:val="center"/>
          </w:tcPr>
          <w:p w14:paraId="05986E66" w14:textId="079CE0DD" w:rsidR="00F06189" w:rsidRPr="009960CD" w:rsidRDefault="00F06189" w:rsidP="00D032B8">
            <w:pPr>
              <w:pStyle w:val="10"/>
              <w:spacing w:after="0"/>
              <w:jc w:val="left"/>
              <w:rPr>
                <w:lang w:val="en-US" w:bidi="he-IL"/>
              </w:rPr>
            </w:pPr>
            <w:r w:rsidRPr="009960CD">
              <w:rPr>
                <w:iCs/>
                <w:lang w:val="en-US"/>
              </w:rPr>
              <w:t>(</w:t>
            </w:r>
            <w:r w:rsidR="00DA4C08" w:rsidRPr="009960CD">
              <w:rPr>
                <w:noProof/>
                <w:lang w:val="en-US"/>
              </w:rPr>
              <w:fldChar w:fldCharType="begin"/>
            </w:r>
            <w:r w:rsidR="00DA4C08" w:rsidRPr="009960CD">
              <w:rPr>
                <w:noProof/>
                <w:lang w:val="en-US"/>
              </w:rPr>
              <w:instrText xml:space="preserve"> SEQ Equation \* ARABIC </w:instrText>
            </w:r>
            <w:r w:rsidR="00DA4C08" w:rsidRPr="009960CD">
              <w:rPr>
                <w:noProof/>
                <w:lang w:val="en-US"/>
              </w:rPr>
              <w:fldChar w:fldCharType="separate"/>
            </w:r>
            <w:r w:rsidR="00713958">
              <w:rPr>
                <w:noProof/>
                <w:lang w:val="en-US"/>
              </w:rPr>
              <w:t>1</w:t>
            </w:r>
            <w:r w:rsidR="00DA4C08" w:rsidRPr="009960CD">
              <w:rPr>
                <w:noProof/>
                <w:lang w:val="en-US"/>
              </w:rPr>
              <w:fldChar w:fldCharType="end"/>
            </w:r>
            <w:r w:rsidRPr="009960CD">
              <w:rPr>
                <w:iCs/>
                <w:lang w:val="en-US"/>
              </w:rPr>
              <w:t>)</w:t>
            </w:r>
          </w:p>
        </w:tc>
        <w:tc>
          <w:tcPr>
            <w:tcW w:w="7796" w:type="dxa"/>
            <w:vAlign w:val="center"/>
          </w:tcPr>
          <w:p w14:paraId="43CFF8D3" w14:textId="4C7161D6" w:rsidR="00F06189" w:rsidRPr="009960CD" w:rsidRDefault="0067442C" w:rsidP="00672563">
            <w:pPr>
              <w:pStyle w:val="10"/>
              <w:spacing w:after="0"/>
              <w:jc w:val="center"/>
              <w:rPr>
                <w:lang w:val="en-US"/>
              </w:rPr>
            </w:pPr>
            <m:oMathPara>
              <m:oMath>
                <m:sSup>
                  <m:sSupPr>
                    <m:ctrlPr>
                      <w:rPr>
                        <w:rFonts w:ascii="Cambria Math" w:hAnsi="Cambria Math"/>
                        <w:i/>
                        <w:lang w:val="en-US"/>
                      </w:rPr>
                    </m:ctrlPr>
                  </m:sSupPr>
                  <m:e>
                    <m:r>
                      <w:rPr>
                        <w:rFonts w:ascii="Cambria Math" w:hAnsi="Cambria Math"/>
                        <w:lang w:val="en-US"/>
                      </w:rPr>
                      <m:t>L</m:t>
                    </m:r>
                  </m:e>
                  <m:sup>
                    <m:r>
                      <w:rPr>
                        <w:rFonts w:ascii="Cambria Math" w:hAnsi="Cambria Math"/>
                        <w:lang w:val="en-US"/>
                      </w:rPr>
                      <m:t>S</m:t>
                    </m:r>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y</m:t>
                    </m:r>
                  </m:sub>
                </m:sSub>
                <m:r>
                  <w:rPr>
                    <w:rFonts w:ascii="Cambria Math" w:hAnsi="Cambria Math"/>
                    <w:lang w:val="en-US"/>
                  </w:rPr>
                  <m:t>.</m:t>
                </m:r>
              </m:oMath>
            </m:oMathPara>
          </w:p>
        </w:tc>
        <w:tc>
          <w:tcPr>
            <w:tcW w:w="708" w:type="dxa"/>
            <w:vAlign w:val="center"/>
          </w:tcPr>
          <w:p w14:paraId="1C899238" w14:textId="77777777" w:rsidR="00F06189" w:rsidRPr="009960CD" w:rsidRDefault="00F06189" w:rsidP="00DA4C08">
            <w:pPr>
              <w:pStyle w:val="10"/>
              <w:spacing w:after="0"/>
              <w:jc w:val="center"/>
              <w:rPr>
                <w:lang w:val="en-US" w:bidi="he-IL"/>
              </w:rPr>
            </w:pPr>
          </w:p>
        </w:tc>
      </w:tr>
    </w:tbl>
    <w:p w14:paraId="79D98949" w14:textId="77777777" w:rsidR="00F06189" w:rsidRPr="009960CD" w:rsidRDefault="00F06189" w:rsidP="00F06189">
      <w:pPr>
        <w:pStyle w:val="10"/>
        <w:rPr>
          <w:lang w:val="en-US"/>
        </w:rPr>
      </w:pPr>
      <w:r w:rsidRPr="009960CD">
        <w:rPr>
          <w:lang w:val="en-US"/>
        </w:rPr>
        <w:t>We allow skilled individuals to emigrate abroad according to the following equation: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96"/>
        <w:gridCol w:w="708"/>
      </w:tblGrid>
      <w:tr w:rsidR="00F06189" w:rsidRPr="009960CD" w14:paraId="31423225" w14:textId="77777777" w:rsidTr="00DA4C08">
        <w:trPr>
          <w:trHeight w:val="737"/>
        </w:trPr>
        <w:tc>
          <w:tcPr>
            <w:tcW w:w="846" w:type="dxa"/>
            <w:vAlign w:val="center"/>
          </w:tcPr>
          <w:p w14:paraId="2974B2BA" w14:textId="358E7E6C" w:rsidR="00F06189" w:rsidRPr="009960CD" w:rsidRDefault="00F06189" w:rsidP="00D032B8">
            <w:pPr>
              <w:pStyle w:val="10"/>
              <w:spacing w:after="0"/>
              <w:jc w:val="left"/>
              <w:rPr>
                <w:lang w:val="en-US" w:bidi="he-IL"/>
              </w:rPr>
            </w:pPr>
            <w:r w:rsidRPr="009960CD">
              <w:rPr>
                <w:iCs/>
                <w:lang w:val="en-US"/>
              </w:rPr>
              <w:t>(</w:t>
            </w:r>
            <w:r w:rsidR="00664BE5" w:rsidRPr="009960CD">
              <w:rPr>
                <w:noProof/>
                <w:lang w:val="en-US"/>
              </w:rPr>
              <w:t>2</w:t>
            </w:r>
            <w:r w:rsidR="00D032B8" w:rsidRPr="009960CD">
              <w:rPr>
                <w:noProof/>
                <w:lang w:val="en-US"/>
              </w:rPr>
              <w:t>6</w:t>
            </w:r>
            <w:r w:rsidRPr="009960CD">
              <w:rPr>
                <w:iCs/>
                <w:lang w:val="en-US"/>
              </w:rPr>
              <w:t>)</w:t>
            </w:r>
          </w:p>
        </w:tc>
        <w:tc>
          <w:tcPr>
            <w:tcW w:w="7796" w:type="dxa"/>
            <w:vAlign w:val="center"/>
          </w:tcPr>
          <w:p w14:paraId="7CF95120" w14:textId="09A353E7" w:rsidR="00F06189" w:rsidRPr="009960CD" w:rsidRDefault="0067442C" w:rsidP="00672563">
            <w:pPr>
              <w:pStyle w:val="10"/>
              <w:spacing w:after="0"/>
              <w:jc w:val="center"/>
              <w:rPr>
                <w:lang w:val="en-US"/>
              </w:rPr>
            </w:pPr>
            <m:oMathPara>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m:t>
                    </m:r>
                  </m:sub>
                </m:sSub>
                <m:r>
                  <w:rPr>
                    <w:rFonts w:ascii="Cambria Math" w:hAnsi="Cambria Math"/>
                    <w:lang w:val="en-US"/>
                  </w:rPr>
                  <m:t>=Z</m:t>
                </m:r>
                <m:sSup>
                  <m:sSupPr>
                    <m:ctrlPr>
                      <w:rPr>
                        <w:rFonts w:ascii="Cambria Math" w:hAnsi="Cambria Math"/>
                        <w:i/>
                        <w:lang w:val="en-US"/>
                      </w:rPr>
                    </m:ctrlPr>
                  </m:sSupPr>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S</m:t>
                            </m:r>
                          </m:sub>
                          <m:sup>
                            <m:r>
                              <w:rPr>
                                <w:rFonts w:ascii="Cambria Math" w:hAnsi="Cambria Math"/>
                                <w:lang w:val="en-US"/>
                              </w:rPr>
                              <m:t>*</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s</m:t>
                            </m:r>
                          </m:sub>
                        </m:sSub>
                      </m:e>
                    </m:d>
                  </m:e>
                  <m:sup>
                    <m:r>
                      <w:rPr>
                        <w:rFonts w:ascii="Cambria Math" w:hAnsi="Cambria Math"/>
                        <w:lang w:val="en-US"/>
                      </w:rPr>
                      <m:t>z</m:t>
                    </m:r>
                  </m:sup>
                </m:sSup>
                <m:r>
                  <w:rPr>
                    <w:rFonts w:ascii="Cambria Math" w:hAnsi="Cambria Math"/>
                    <w:lang w:val="en-US"/>
                  </w:rPr>
                  <m:t xml:space="preserve">          </m:t>
                </m:r>
                <m:r>
                  <m:rPr>
                    <m:sty m:val="p"/>
                  </m:rPr>
                  <w:rPr>
                    <w:rFonts w:ascii="Cambria Math" w:hAnsi="Cambria Math"/>
                    <w:lang w:val="en-US"/>
                  </w:rPr>
                  <m:t>with</m:t>
                </m:r>
                <m:r>
                  <w:rPr>
                    <w:rFonts w:ascii="Cambria Math" w:hAnsi="Cambria Math"/>
                    <w:lang w:val="en-US"/>
                  </w:rPr>
                  <m:t xml:space="preserve"> Z&gt;0,   0  &lt; z &lt;  1.</m:t>
                </m:r>
              </m:oMath>
            </m:oMathPara>
          </w:p>
        </w:tc>
        <w:tc>
          <w:tcPr>
            <w:tcW w:w="708" w:type="dxa"/>
            <w:vAlign w:val="center"/>
          </w:tcPr>
          <w:p w14:paraId="03AA2460" w14:textId="77777777" w:rsidR="00F06189" w:rsidRPr="009960CD" w:rsidRDefault="00F06189" w:rsidP="00DA4C08">
            <w:pPr>
              <w:pStyle w:val="10"/>
              <w:spacing w:after="0"/>
              <w:jc w:val="center"/>
              <w:rPr>
                <w:lang w:val="en-US" w:bidi="he-IL"/>
              </w:rPr>
            </w:pPr>
          </w:p>
        </w:tc>
      </w:tr>
    </w:tbl>
    <w:p w14:paraId="538A82EB" w14:textId="3B243068" w:rsidR="00F06189" w:rsidRPr="009960CD" w:rsidRDefault="00F06189" w:rsidP="008E0DCA">
      <w:pPr>
        <w:pStyle w:val="10"/>
        <w:rPr>
          <w:lang w:val="en-US"/>
        </w:rPr>
      </w:pPr>
      <w:r w:rsidRPr="009960CD">
        <w:rPr>
          <w:lang w:val="en-US"/>
        </w:rPr>
        <w:t xml:space="preserve">where </w:t>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s</m:t>
            </m:r>
          </m:sub>
          <m:sup>
            <m:r>
              <w:rPr>
                <w:rFonts w:ascii="Cambria Math" w:hAnsi="Cambria Math"/>
                <w:lang w:val="en-US"/>
              </w:rPr>
              <m:t>*</m:t>
            </m:r>
          </m:sup>
        </m:sSubSup>
      </m:oMath>
      <w:r w:rsidRPr="009960CD">
        <w:rPr>
          <w:lang w:val="en-US"/>
        </w:rPr>
        <w:t xml:space="preserve"> is the (exogenously given) utility level attained by s-individuals who reside abroad.  Note that the number of emigrants depends positively on the foreign-domestic utility </w:t>
      </w:r>
      <w:r w:rsidR="00761CD0" w:rsidRPr="009960CD">
        <w:rPr>
          <w:lang w:val="en-US"/>
        </w:rPr>
        <w:t xml:space="preserve">differential, </w:t>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S</m:t>
            </m:r>
          </m:sub>
          <m:sup>
            <m:r>
              <w:rPr>
                <w:rFonts w:ascii="Cambria Math" w:hAnsi="Cambria Math"/>
                <w:lang w:val="en-US"/>
              </w:rPr>
              <m:t>*</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s</m:t>
            </m:r>
          </m:sub>
        </m:sSub>
      </m:oMath>
      <w:r w:rsidR="00761CD0" w:rsidRPr="009960CD">
        <w:rPr>
          <w:lang w:val="en-US"/>
        </w:rPr>
        <w:t>.</w:t>
      </w:r>
    </w:p>
    <w:p w14:paraId="03CD442C" w14:textId="77777777" w:rsidR="00F06189" w:rsidRPr="009960CD" w:rsidRDefault="00F06189" w:rsidP="00F06189">
      <w:pPr>
        <w:pStyle w:val="10"/>
        <w:rPr>
          <w:lang w:val="en-US"/>
        </w:rPr>
      </w:pPr>
    </w:p>
    <w:p w14:paraId="0FFA968E" w14:textId="287483AC" w:rsidR="00F06189" w:rsidRPr="009960CD" w:rsidRDefault="001451EE" w:rsidP="001451EE">
      <w:pPr>
        <w:pStyle w:val="10"/>
        <w:rPr>
          <w:lang w:val="en-US"/>
        </w:rPr>
      </w:pPr>
      <w:r>
        <w:rPr>
          <w:lang w:val="en-US"/>
        </w:rPr>
        <w:t>As for the welfare state features in the model, w</w:t>
      </w:r>
      <w:r w:rsidR="00F06189" w:rsidRPr="009960CD">
        <w:rPr>
          <w:lang w:val="en-US"/>
        </w:rPr>
        <w:t xml:space="preserve">e assume </w:t>
      </w:r>
      <w:r w:rsidR="0095174F" w:rsidRPr="009960CD">
        <w:rPr>
          <w:lang w:val="en-US"/>
        </w:rPr>
        <w:t>that the</w:t>
      </w:r>
      <w:r w:rsidR="00FD5348" w:rsidRPr="009960CD">
        <w:rPr>
          <w:lang w:val="en-US"/>
        </w:rPr>
        <w:t xml:space="preserve"> tax-transfer </w:t>
      </w:r>
      <w:r w:rsidR="0095174F" w:rsidRPr="009960CD">
        <w:rPr>
          <w:lang w:val="en-US"/>
        </w:rPr>
        <w:t>policy (</w:t>
      </w:r>
      <w:r w:rsidR="00F06189" w:rsidRPr="009960CD">
        <w:rPr>
          <w:lang w:val="en-US"/>
        </w:rPr>
        <w:t xml:space="preserve">that is, the choice of  </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 xml:space="preserve"> t</m:t>
            </m:r>
          </m:e>
          <m:sub>
            <m:r>
              <w:rPr>
                <w:rFonts w:ascii="Cambria Math" w:hAnsi="Cambria Math"/>
                <w:lang w:val="en-US"/>
              </w:rPr>
              <m:t xml:space="preserve">L </m:t>
            </m:r>
          </m:sub>
        </m:sSub>
      </m:oMath>
      <w:r w:rsidR="00F06189" w:rsidRPr="009960CD">
        <w:rPr>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k </m:t>
            </m:r>
          </m:sub>
        </m:sSub>
      </m:oMath>
      <w:r w:rsidR="00F06189" w:rsidRPr="009960CD">
        <w:rPr>
          <w:lang w:val="en-US"/>
        </w:rPr>
        <w:t>and B) are determined by majority voting. Because the individuals in each of the two skill groups are identical, the larger group determines policies</w:t>
      </w:r>
      <w:r w:rsidR="00FD5348" w:rsidRPr="009960CD">
        <w:rPr>
          <w:lang w:val="en-US"/>
        </w:rPr>
        <w:t>, according to its own preferences.</w:t>
      </w:r>
      <w:r w:rsidR="00F06189" w:rsidRPr="009960CD">
        <w:rPr>
          <w:lang w:val="en-US"/>
        </w:rPr>
        <w:t xml:space="preserve">. Thus, when  </w:t>
      </w:r>
      <m:oMath>
        <m:r>
          <m:rPr>
            <m:sty m:val="p"/>
          </m:rPr>
          <w:rPr>
            <w:rFonts w:ascii="Cambria Math" w:hAnsi="Cambria Math"/>
            <w:lang w:val="en-US"/>
          </w:rPr>
          <m:t xml:space="preserve">λ </m:t>
        </m:r>
      </m:oMath>
      <w:r w:rsidR="00F06189" w:rsidRPr="009960CD">
        <w:rPr>
          <w:lang w:val="en-US"/>
        </w:rPr>
        <w:t xml:space="preserve">  is less than 0.5 (and so is </w:t>
      </w:r>
      <m:oMath>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oMath>
      <w:r w:rsidR="00F06189" w:rsidRPr="009960CD">
        <w:rPr>
          <w:lang w:val="en-US"/>
        </w:rPr>
        <w:t>), the</w:t>
      </w:r>
      <w:r w:rsidR="00FD5348" w:rsidRPr="009960CD">
        <w:rPr>
          <w:lang w:val="en-US"/>
        </w:rPr>
        <w:t xml:space="preserve"> u-individuals form the majority, and</w:t>
      </w:r>
      <w:r w:rsidR="00F06189" w:rsidRPr="009960CD">
        <w:rPr>
          <w:lang w:val="en-US"/>
        </w:rPr>
        <w:t xml:space="preserve"> the tax-transfer policy is determined so as to maximize the u-individual utility level (that is, </w:t>
      </w:r>
      <m:oMath>
        <m:sSub>
          <m:sSubPr>
            <m:ctrlPr>
              <w:rPr>
                <w:rFonts w:ascii="Cambria Math" w:hAnsi="Cambria Math"/>
                <w:lang w:val="en-US"/>
              </w:rPr>
            </m:ctrlPr>
          </m:sSubPr>
          <m:e>
            <m:r>
              <w:rPr>
                <w:rFonts w:ascii="Cambria Math" w:hAnsi="Cambria Math"/>
                <w:lang w:val="en-US"/>
              </w:rPr>
              <m:t>u</m:t>
            </m:r>
          </m:e>
          <m:sub>
            <m:r>
              <w:rPr>
                <w:rFonts w:ascii="Cambria Math" w:hAnsi="Cambria Math"/>
                <w:lang w:val="en-US"/>
              </w:rPr>
              <m:t>u</m:t>
            </m:r>
          </m:sub>
        </m:sSub>
      </m:oMath>
      <w:r w:rsidR="00F06189" w:rsidRPr="009960CD">
        <w:rPr>
          <w:lang w:val="en-US"/>
        </w:rPr>
        <w:t xml:space="preserve">).  This regime </w:t>
      </w:r>
      <w:r w:rsidR="00FD5348" w:rsidRPr="009960CD">
        <w:rPr>
          <w:lang w:val="en-US"/>
        </w:rPr>
        <w:t xml:space="preserve">is </w:t>
      </w:r>
      <w:r w:rsidR="0095174F" w:rsidRPr="009960CD">
        <w:rPr>
          <w:lang w:val="en-US"/>
        </w:rPr>
        <w:t>henceforth referred</w:t>
      </w:r>
      <w:r w:rsidR="00F06189" w:rsidRPr="009960CD">
        <w:rPr>
          <w:lang w:val="en-US"/>
        </w:rPr>
        <w:t xml:space="preserve"> to as the u-regime.  Similarly, when</w:t>
      </w:r>
      <m:oMath>
        <m:r>
          <w:rPr>
            <w:rFonts w:ascii="Cambria Math" w:hAnsi="Cambria Math"/>
            <w:lang w:val="en-US"/>
          </w:rPr>
          <m:t xml:space="preserve">  </m:t>
        </m:r>
        <m:r>
          <m:rPr>
            <m:sty m:val="p"/>
          </m:rPr>
          <w:rPr>
            <w:rFonts w:ascii="Cambria Math" w:hAnsi="Cambria Math"/>
            <w:lang w:val="en-US"/>
          </w:rPr>
          <m:t>λ-</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m:t>
            </m:r>
          </m:sub>
        </m:sSub>
      </m:oMath>
      <w:r w:rsidR="00F06189" w:rsidRPr="009960CD">
        <w:rPr>
          <w:lang w:val="en-US"/>
        </w:rPr>
        <w:t xml:space="preserve"> </w:t>
      </w:r>
      <w:r w:rsidR="00F06189" w:rsidRPr="009960CD">
        <w:rPr>
          <w:lang w:val="en-US"/>
        </w:rPr>
        <w:lastRenderedPageBreak/>
        <w:t xml:space="preserve">(which is not an exogenous variable) is larger </w:t>
      </w:r>
      <w:r w:rsidR="0095174F" w:rsidRPr="009960CD">
        <w:rPr>
          <w:lang w:val="en-US"/>
        </w:rPr>
        <w:t>than</w:t>
      </w:r>
      <m:oMath>
        <m:r>
          <w:rPr>
            <w:rFonts w:ascii="Cambria Math" w:hAnsi="Cambria Math"/>
            <w:lang w:val="en-US"/>
          </w:rPr>
          <m:t xml:space="preserve"> 0.5</m:t>
        </m:r>
      </m:oMath>
      <w:r w:rsidR="00F06189" w:rsidRPr="009960CD">
        <w:rPr>
          <w:lang w:val="en-US"/>
        </w:rPr>
        <w:t xml:space="preserve">, the tax-transfer policy is determined by the s-individuals, </w:t>
      </w:r>
      <w:r w:rsidR="0095174F" w:rsidRPr="009960CD">
        <w:rPr>
          <w:lang w:val="en-US"/>
        </w:rPr>
        <w:t>to</w:t>
      </w:r>
      <w:r w:rsidR="00F06189" w:rsidRPr="009960CD">
        <w:rPr>
          <w:lang w:val="en-US"/>
        </w:rPr>
        <w:t xml:space="preserve"> maximize their utility level, </w:t>
      </w:r>
      <m:oMath>
        <m:r>
          <w:rPr>
            <w:rFonts w:ascii="Cambria Math" w:hAnsi="Cambria Math"/>
            <w:lang w:val="en-US"/>
          </w:rPr>
          <m:t xml:space="preserve">  </m:t>
        </m:r>
        <m:sSub>
          <m:sSubPr>
            <m:ctrlPr>
              <w:rPr>
                <w:rFonts w:ascii="Cambria Math" w:hAnsi="Cambria Math"/>
                <w:lang w:val="en-US"/>
              </w:rPr>
            </m:ctrlPr>
          </m:sSubPr>
          <m:e>
            <m:r>
              <w:rPr>
                <w:rFonts w:ascii="Cambria Math" w:hAnsi="Cambria Math"/>
                <w:lang w:val="en-US"/>
              </w:rPr>
              <m:t>u</m:t>
            </m:r>
          </m:e>
          <m:sub>
            <m:r>
              <w:rPr>
                <w:rFonts w:ascii="Cambria Math" w:hAnsi="Cambria Math"/>
                <w:lang w:val="en-US"/>
              </w:rPr>
              <m:t>s</m:t>
            </m:r>
          </m:sub>
        </m:sSub>
      </m:oMath>
      <w:r w:rsidR="00F06189" w:rsidRPr="009960CD">
        <w:rPr>
          <w:lang w:val="en-US"/>
        </w:rPr>
        <w:t>. This regime is</w:t>
      </w:r>
      <w:r w:rsidR="0095174F" w:rsidRPr="009960CD">
        <w:rPr>
          <w:lang w:val="en-US"/>
        </w:rPr>
        <w:t xml:space="preserve"> </w:t>
      </w:r>
      <w:r w:rsidR="00F06189" w:rsidRPr="009960CD">
        <w:rPr>
          <w:lang w:val="en-US"/>
        </w:rPr>
        <w:t xml:space="preserve">  </w:t>
      </w:r>
      <w:r w:rsidR="0095174F" w:rsidRPr="009960CD">
        <w:rPr>
          <w:lang w:val="en-US"/>
        </w:rPr>
        <w:t>henceforth referred</w:t>
      </w:r>
      <w:r w:rsidR="00F06189" w:rsidRPr="009960CD">
        <w:rPr>
          <w:lang w:val="en-US"/>
        </w:rPr>
        <w:t xml:space="preserve"> to as the s-regime.</w:t>
      </w:r>
    </w:p>
    <w:p w14:paraId="42199886" w14:textId="6165CDB6" w:rsidR="004505EA" w:rsidRPr="009960CD" w:rsidRDefault="004505EA" w:rsidP="00FD5348">
      <w:pPr>
        <w:pStyle w:val="10"/>
        <w:rPr>
          <w:lang w:val="en-US"/>
        </w:rPr>
      </w:pPr>
      <w:r w:rsidRPr="009960CD">
        <w:rPr>
          <w:lang w:val="en-US"/>
        </w:rPr>
        <w:t xml:space="preserve">The forces of trade and financial globalization are </w:t>
      </w:r>
      <w:r w:rsidR="00FD01CD" w:rsidRPr="009960CD">
        <w:rPr>
          <w:lang w:val="en-US"/>
        </w:rPr>
        <w:t>intertwined</w:t>
      </w:r>
      <w:r w:rsidRPr="009960CD">
        <w:rPr>
          <w:lang w:val="en-US"/>
        </w:rPr>
        <w:t xml:space="preserve"> in their implications for income distribution and tax-transfer policies. To get a better insight into these interdependent effects we consider separately trade globalization and </w:t>
      </w:r>
      <w:r w:rsidR="00FD01CD" w:rsidRPr="009960CD">
        <w:rPr>
          <w:lang w:val="en-US"/>
        </w:rPr>
        <w:t>financial</w:t>
      </w:r>
      <w:r w:rsidRPr="009960CD">
        <w:rPr>
          <w:lang w:val="en-US"/>
        </w:rPr>
        <w:t xml:space="preserve"> globalization.</w:t>
      </w:r>
    </w:p>
    <w:p w14:paraId="17D1616E" w14:textId="78798506" w:rsidR="00FD5348" w:rsidRPr="009960CD" w:rsidRDefault="00FD5348" w:rsidP="004505EA">
      <w:pPr>
        <w:pStyle w:val="10"/>
        <w:rPr>
          <w:lang w:val="en-US"/>
        </w:rPr>
      </w:pPr>
      <w:r w:rsidRPr="009960CD">
        <w:rPr>
          <w:lang w:val="en-US"/>
        </w:rPr>
        <w:t xml:space="preserve">We resort to numerical simulations in order to characterize these two regimes. In particular, we study how globalization (as proxied by the friction costs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r>
          <w:rPr>
            <w:rFonts w:ascii="Cambria Math" w:hAnsi="Cambria Math"/>
            <w:lang w:val="en-US"/>
          </w:rPr>
          <m:t xml:space="preserve"> </m:t>
        </m:r>
      </m:oMath>
      <w:r w:rsidRPr="009960CD">
        <w:rPr>
          <w:lang w:val="en-US"/>
        </w:rPr>
        <w:t>and</w:t>
      </w:r>
      <w:r w:rsidR="0095174F" w:rsidRPr="009960CD">
        <w:rPr>
          <w:lang w:val="en-US"/>
        </w:rPr>
        <w:t xml:space="preserve"> </w:t>
      </w:r>
      <w:r w:rsidRPr="009960CD">
        <w:rPr>
          <w:lang w:val="en-US"/>
        </w:rPr>
        <w:t xml:space="preserv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w:t>
      </w:r>
      <w:r w:rsidR="0095174F" w:rsidRPr="009960CD">
        <w:rPr>
          <w:lang w:val="en-US"/>
        </w:rPr>
        <w:t>, and</w:t>
      </w:r>
      <w:r w:rsidRPr="009960CD">
        <w:rPr>
          <w:lang w:val="en-US"/>
        </w:rPr>
        <w:t xml:space="preserve"> how tax competition (as expressed </w:t>
      </w:r>
      <w:r w:rsidR="0095174F" w:rsidRPr="009960CD">
        <w:rPr>
          <w:lang w:val="en-US"/>
        </w:rPr>
        <w:t>by the</w:t>
      </w:r>
      <w:r w:rsidRPr="009960CD">
        <w:rPr>
          <w:lang w:val="en-US"/>
        </w:rPr>
        <w:t xml:space="preserve"> tax parameters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k </m:t>
            </m:r>
          </m:sub>
        </m:sSub>
      </m:oMath>
      <w:r w:rsidRPr="009960CD">
        <w:rPr>
          <w:lang w:val="en-US"/>
        </w:rPr>
        <w:t xml:space="preserve"> and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k</m:t>
            </m:r>
          </m:sub>
          <m:sup>
            <m:r>
              <w:rPr>
                <w:rFonts w:ascii="Cambria Math" w:hAnsi="Cambria Math"/>
                <w:lang w:val="en-US"/>
              </w:rPr>
              <m:t>*</m:t>
            </m:r>
          </m:sup>
        </m:sSubSup>
      </m:oMath>
      <w:r w:rsidRPr="009960CD">
        <w:rPr>
          <w:lang w:val="en-US"/>
        </w:rPr>
        <w:t xml:space="preserve">) affect these two regimes. </w:t>
      </w:r>
    </w:p>
    <w:p w14:paraId="68F1337C" w14:textId="5A014512" w:rsidR="004505EA" w:rsidRPr="009960CD" w:rsidRDefault="00664BE5" w:rsidP="004505EA">
      <w:pPr>
        <w:pStyle w:val="10"/>
        <w:rPr>
          <w:b/>
          <w:bCs/>
          <w:lang w:val="en-US"/>
        </w:rPr>
      </w:pPr>
      <w:r w:rsidRPr="009960CD">
        <w:rPr>
          <w:b/>
          <w:bCs/>
          <w:lang w:val="en-US"/>
        </w:rPr>
        <w:t>5</w:t>
      </w:r>
      <w:r w:rsidR="004505EA" w:rsidRPr="009960CD">
        <w:rPr>
          <w:b/>
          <w:bCs/>
          <w:lang w:val="en-US"/>
        </w:rPr>
        <w:t>. Trade globalization</w:t>
      </w:r>
      <w:r w:rsidR="0096789D">
        <w:rPr>
          <w:b/>
          <w:bCs/>
          <w:lang w:val="en-US"/>
        </w:rPr>
        <w:t xml:space="preserve"> and Welfare-State Policies</w:t>
      </w:r>
    </w:p>
    <w:p w14:paraId="5CCB6AD5" w14:textId="18D6F82A" w:rsidR="00625DDA" w:rsidRPr="009960CD" w:rsidRDefault="008D1398" w:rsidP="00506D0E">
      <w:pPr>
        <w:pStyle w:val="10"/>
        <w:rPr>
          <w:lang w:val="en-US"/>
        </w:rPr>
      </w:pPr>
      <w:r w:rsidRPr="009960CD">
        <w:rPr>
          <w:lang w:val="en-US"/>
        </w:rPr>
        <w:t>In this section w</w:t>
      </w:r>
      <w:r w:rsidR="00A23A3D" w:rsidRPr="009960CD">
        <w:rPr>
          <w:lang w:val="en-US"/>
        </w:rPr>
        <w:t>e start with the study of trade globalization</w:t>
      </w:r>
      <w:r w:rsidRPr="009960CD">
        <w:rPr>
          <w:lang w:val="en-US"/>
        </w:rPr>
        <w:t xml:space="preserve">, income distribution and the welfare state. For this </w:t>
      </w:r>
      <w:r w:rsidR="00FD01CD" w:rsidRPr="009960CD">
        <w:rPr>
          <w:lang w:val="en-US"/>
        </w:rPr>
        <w:t>purpose,</w:t>
      </w:r>
      <w:r w:rsidRPr="009960CD">
        <w:rPr>
          <w:lang w:val="en-US"/>
        </w:rPr>
        <w:t xml:space="preserve"> we shut off the channel of international financial flows in the model.</w:t>
      </w:r>
      <w:r w:rsidR="005D30E6" w:rsidRPr="009960CD">
        <w:rPr>
          <w:lang w:val="en-US"/>
        </w:rPr>
        <w:t xml:space="preserve"> </w:t>
      </w:r>
      <w:r w:rsidR="00625DDA" w:rsidRPr="009960CD">
        <w:rPr>
          <w:lang w:val="en-US"/>
        </w:rPr>
        <w:t xml:space="preserve">  Our focus is on the implications of trade globalization through these effects for income distribution and the ensuing political-economy </w:t>
      </w:r>
      <w:r w:rsidR="00506D0E">
        <w:rPr>
          <w:lang w:val="en-US"/>
        </w:rPr>
        <w:t>benefits</w:t>
      </w:r>
      <w:r w:rsidR="00625DDA" w:rsidRPr="009960CD">
        <w:rPr>
          <w:lang w:val="en-US"/>
        </w:rPr>
        <w:t xml:space="preserve"> and taxes. As we shall see, these implications depends on: (i) the factor abundance of our small open economy and the related factor intensity of the export good; (ii) on whether or not there is complete specialization in the export good.</w:t>
      </w:r>
      <w:r w:rsidR="0029570D" w:rsidRPr="009960CD">
        <w:rPr>
          <w:rStyle w:val="Appelnotedebasdep"/>
          <w:lang w:val="en-US"/>
        </w:rPr>
        <w:footnoteReference w:id="12"/>
      </w:r>
    </w:p>
    <w:p w14:paraId="53EF8DB9" w14:textId="386AF107" w:rsidR="00400664" w:rsidRPr="0096789D" w:rsidRDefault="00664BE5" w:rsidP="00DC6DBA">
      <w:pPr>
        <w:pStyle w:val="10"/>
        <w:rPr>
          <w:b/>
          <w:bCs/>
          <w:lang w:val="en-US"/>
        </w:rPr>
      </w:pPr>
      <w:r w:rsidRPr="00A569FB">
        <w:rPr>
          <w:b/>
          <w:bCs/>
          <w:lang w:val="en-US"/>
        </w:rPr>
        <w:lastRenderedPageBreak/>
        <w:t>5.</w:t>
      </w:r>
      <w:r w:rsidR="00400664" w:rsidRPr="009960CD">
        <w:rPr>
          <w:lang w:val="en-US"/>
        </w:rPr>
        <w:t xml:space="preserve">1 </w:t>
      </w:r>
      <w:r w:rsidR="00A569FB">
        <w:rPr>
          <w:lang w:val="en-US"/>
        </w:rPr>
        <w:t xml:space="preserve"> </w:t>
      </w:r>
      <w:r w:rsidR="00400664" w:rsidRPr="0096789D">
        <w:rPr>
          <w:b/>
          <w:bCs/>
          <w:lang w:val="en-US"/>
        </w:rPr>
        <w:t xml:space="preserve">Capital-Abundant </w:t>
      </w:r>
      <w:r w:rsidR="00DC6DBA" w:rsidRPr="0096789D">
        <w:rPr>
          <w:b/>
          <w:bCs/>
          <w:lang w:val="en-US"/>
        </w:rPr>
        <w:t>Economy</w:t>
      </w:r>
    </w:p>
    <w:p w14:paraId="3C3EB140" w14:textId="392FA0E5" w:rsidR="00400664" w:rsidRPr="009960CD" w:rsidRDefault="00400664" w:rsidP="00B15DE9">
      <w:pPr>
        <w:pStyle w:val="10"/>
        <w:rPr>
          <w:lang w:val="en-US"/>
        </w:rPr>
      </w:pPr>
      <w:r w:rsidRPr="009960CD">
        <w:rPr>
          <w:lang w:val="en-US"/>
        </w:rPr>
        <w:t xml:space="preserve">Suppose that good y is more capital intensive than good x. Suppose </w:t>
      </w:r>
      <w:r w:rsidR="00B15DE9" w:rsidRPr="009960CD">
        <w:rPr>
          <w:lang w:val="en-US"/>
        </w:rPr>
        <w:t>further</w:t>
      </w:r>
      <w:r w:rsidRPr="009960CD">
        <w:rPr>
          <w:lang w:val="en-US"/>
        </w:rPr>
        <w:t xml:space="preserve"> that our small open economy</w:t>
      </w:r>
      <w:r w:rsidR="00B15DE9" w:rsidRPr="009960CD">
        <w:rPr>
          <w:lang w:val="en-US"/>
        </w:rPr>
        <w:t xml:space="preserve"> is more capital abundant relative to the rest of the world. This means that the world relative price of y (namely  </w:t>
      </w:r>
      <m:oMath>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m:t>
            </m:r>
          </m:sup>
        </m:sSup>
      </m:oMath>
      <w:r w:rsidR="00B15DE9" w:rsidRPr="009960CD">
        <w:rPr>
          <w:lang w:val="en-US"/>
        </w:rPr>
        <w:t xml:space="preserve"> ) is higher than the domestic autarky relative price of good y.</w:t>
      </w:r>
    </w:p>
    <w:p w14:paraId="575A2AFA" w14:textId="019E10B9" w:rsidR="00B15DE9" w:rsidRPr="009960CD" w:rsidRDefault="00B15DE9" w:rsidP="00506D0E">
      <w:pPr>
        <w:pStyle w:val="10"/>
        <w:rPr>
          <w:lang w:val="en-US"/>
        </w:rPr>
      </w:pPr>
      <w:r w:rsidRPr="009960CD">
        <w:rPr>
          <w:lang w:val="en-US"/>
        </w:rPr>
        <w:t xml:space="preserve">Recall that we measure the degree of trade </w:t>
      </w:r>
      <w:r w:rsidR="00FD01CD" w:rsidRPr="009960CD">
        <w:rPr>
          <w:lang w:val="en-US"/>
        </w:rPr>
        <w:t>globalization by</w:t>
      </w:r>
      <w:r w:rsidRPr="009960CD">
        <w:rPr>
          <w:lang w:val="en-US"/>
        </w:rPr>
        <w:t xml:space="preserve"> the parameter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which is an impediment to trade in goods (equation (1)). First, we examine how trade globalization affects the income distribution in the absence of the welfare state (that is,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L</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K</m:t>
            </m:r>
          </m:sub>
        </m:sSub>
        <m:r>
          <w:rPr>
            <w:rFonts w:ascii="Cambria Math" w:hAnsi="Cambria Math"/>
            <w:lang w:val="en-US"/>
          </w:rPr>
          <m:t>=B=0).</m:t>
        </m:r>
      </m:oMath>
      <w:r w:rsidRPr="009960CD">
        <w:rPr>
          <w:lang w:val="en-US"/>
        </w:rPr>
        <w:t xml:space="preserve"> The</w:t>
      </w:r>
      <w:r w:rsidR="00506D0E">
        <w:rPr>
          <w:lang w:val="en-US"/>
        </w:rPr>
        <w:t>n</w:t>
      </w:r>
      <w:r w:rsidRPr="009960CD">
        <w:rPr>
          <w:lang w:val="en-US"/>
        </w:rPr>
        <w:t xml:space="preserve">, we examine how </w:t>
      </w:r>
      <w:r w:rsidR="005D501E" w:rsidRPr="009960CD">
        <w:rPr>
          <w:lang w:val="en-US"/>
        </w:rPr>
        <w:t>the welfare state responds to trade globalization under the two configurations of political power balance: (i) Skill-rich majority; (ii) Unskilled-poor majority.</w:t>
      </w:r>
    </w:p>
    <w:p w14:paraId="2510FBDF" w14:textId="68FE2572" w:rsidR="005D501E" w:rsidRDefault="005D501E" w:rsidP="00144806">
      <w:pPr>
        <w:pStyle w:val="10"/>
        <w:rPr>
          <w:lang w:val="en-US"/>
        </w:rPr>
      </w:pPr>
      <w:r w:rsidRPr="009960CD">
        <w:rPr>
          <w:lang w:val="en-US"/>
        </w:rPr>
        <w:t xml:space="preserve">With </w:t>
      </w:r>
      <w:r w:rsidR="00506D0E">
        <w:rPr>
          <w:lang w:val="en-US"/>
        </w:rPr>
        <w:t xml:space="preserve">sufficiently </w:t>
      </w:r>
      <w:r w:rsidRPr="009960CD">
        <w:rPr>
          <w:lang w:val="en-US"/>
        </w:rPr>
        <w:t xml:space="preserve">high </w:t>
      </w:r>
      <w:r w:rsidR="00506D0E">
        <w:rPr>
          <w:lang w:val="en-US"/>
        </w:rPr>
        <w:t xml:space="preserv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 the country is in autarky.</w:t>
      </w:r>
      <w:r w:rsidR="009978A7" w:rsidRPr="009960CD">
        <w:rPr>
          <w:lang w:val="en-US"/>
        </w:rPr>
        <w:t xml:space="preserve"> Naturally, the autarkic relative price of the would</w:t>
      </w:r>
      <w:r w:rsidR="00506D0E">
        <w:rPr>
          <w:lang w:val="en-US"/>
        </w:rPr>
        <w:t>-</w:t>
      </w:r>
      <w:r w:rsidR="009978A7" w:rsidRPr="009960CD">
        <w:rPr>
          <w:lang w:val="en-US"/>
        </w:rPr>
        <w:t>be export good lies below the world relative price.</w:t>
      </w:r>
      <w:r w:rsidRPr="009960CD">
        <w:rPr>
          <w:lang w:val="en-US"/>
        </w:rPr>
        <w:t xml:space="preserve"> In this range, a decline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does not affect the domestic prices, as</w:t>
      </w:r>
      <w:r w:rsidR="00506D0E">
        <w:rPr>
          <w:lang w:val="en-US"/>
        </w:rPr>
        <w:t xml:space="preserve"> long </w:t>
      </w:r>
      <w:r w:rsidR="00FD01CD">
        <w:rPr>
          <w:lang w:val="en-US"/>
        </w:rPr>
        <w:t xml:space="preserve">as </w:t>
      </w:r>
      <w:r w:rsidR="00FD01CD" w:rsidRPr="009960CD">
        <w:rPr>
          <w:lang w:val="en-US"/>
        </w:rPr>
        <w:t>the</w:t>
      </w:r>
      <w:r w:rsidRPr="009960CD">
        <w:rPr>
          <w:lang w:val="en-US"/>
        </w:rPr>
        <w:t xml:space="preserve"> economy is still in autarky. When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continues to fall, </w:t>
      </w:r>
      <w:r w:rsidRPr="009960CD">
        <w:rPr>
          <w:lang w:val="en-US"/>
        </w:rPr>
        <w:lastRenderedPageBreak/>
        <w:t>the country opens up to trade in goods</w:t>
      </w:r>
      <w:r w:rsidR="00FD01CD" w:rsidRPr="009960CD">
        <w:rPr>
          <w:lang w:val="en-US"/>
        </w:rPr>
        <w:t>; it</w:t>
      </w:r>
      <w:r w:rsidRPr="009960CD">
        <w:rPr>
          <w:lang w:val="en-US"/>
        </w:rPr>
        <w:t xml:space="preserve"> exports good y and imports good x. In this non-autarkic regime, a decline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raises, as expected, the dome</w:t>
      </w:r>
      <w:r w:rsidR="00506D0E">
        <w:rPr>
          <w:lang w:val="en-US"/>
        </w:rPr>
        <w:t>stic price of the export good (</w:t>
      </w:r>
      <w:r w:rsidRPr="009960CD">
        <w:rPr>
          <w:lang w:val="en-US"/>
        </w:rPr>
        <w:t>y) toward the world price p* (see equation (</w:t>
      </w:r>
      <w:r w:rsidR="00506D0E">
        <w:rPr>
          <w:lang w:val="en-US"/>
        </w:rPr>
        <w:t>3</w:t>
      </w:r>
      <w:r w:rsidRPr="009960CD">
        <w:rPr>
          <w:lang w:val="en-US"/>
        </w:rPr>
        <w:t xml:space="preserve">)). Figure </w:t>
      </w:r>
      <w:r w:rsidR="00144806">
        <w:rPr>
          <w:lang w:val="en-US"/>
        </w:rPr>
        <w:t>2</w:t>
      </w:r>
      <w:r w:rsidRPr="009960CD">
        <w:rPr>
          <w:lang w:val="en-US"/>
        </w:rPr>
        <w:t xml:space="preserve">(a) shows that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decreases, the</w:t>
      </w:r>
      <w:r w:rsidR="005733F8" w:rsidRPr="009960CD">
        <w:rPr>
          <w:lang w:val="en-US"/>
        </w:rPr>
        <w:t xml:space="preserve"> </w:t>
      </w:r>
      <w:r w:rsidR="00B23428" w:rsidRPr="009960CD">
        <w:rPr>
          <w:lang w:val="en-US"/>
        </w:rPr>
        <w:t>autarky ceases to exist first when the skilled form the majority in the welfare state</w:t>
      </w:r>
      <w:r w:rsidR="00B23428" w:rsidRPr="009960CD">
        <w:rPr>
          <w:rStyle w:val="Appelnotedebasdep"/>
          <w:lang w:val="en-US"/>
        </w:rPr>
        <w:footnoteReference w:id="13"/>
      </w:r>
      <w:r w:rsidR="00B23428" w:rsidRPr="009960CD">
        <w:rPr>
          <w:lang w:val="en-US"/>
        </w:rPr>
        <w:t xml:space="preserve">.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00B23428" w:rsidRPr="009960CD">
        <w:rPr>
          <w:lang w:val="en-US"/>
        </w:rPr>
        <w:t xml:space="preserve"> further declines, then the autarky collapses with the absence of the welfare state; </w:t>
      </w:r>
      <w:r w:rsidR="00144806">
        <w:rPr>
          <w:lang w:val="en-US"/>
        </w:rPr>
        <w:t>Next,</w:t>
      </w:r>
      <w:r w:rsidR="00506D0E">
        <w:rPr>
          <w:lang w:val="en-US"/>
        </w:rPr>
        <w:t xml:space="preserve"> the autarky collapses last (in response to a decrease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00506D0E">
        <w:rPr>
          <w:lang w:val="en-US"/>
        </w:rPr>
        <w:t>)</w:t>
      </w:r>
      <w:r w:rsidR="00B23428" w:rsidRPr="009960CD">
        <w:rPr>
          <w:lang w:val="en-US"/>
        </w:rPr>
        <w:t xml:space="preserve"> when the unskilled form the majority in a welfare state. As long as the impediment to trade is strong enough (</w:t>
      </w:r>
      <w:r w:rsidR="00506D0E">
        <w:rPr>
          <w:lang w:val="en-US"/>
        </w:rPr>
        <w:t xml:space="preserve">that is, </w:t>
      </w:r>
      <w:r w:rsidR="00B23428" w:rsidRPr="009960CD">
        <w:rPr>
          <w:lang w:val="en-US"/>
        </w:rPr>
        <w:t xml:space="preserv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00B23428" w:rsidRPr="009960CD">
        <w:rPr>
          <w:lang w:val="en-US"/>
        </w:rPr>
        <w:t xml:space="preserve"> is sufficiently high)</w:t>
      </w:r>
      <w:r w:rsidR="00506D0E">
        <w:rPr>
          <w:lang w:val="en-US"/>
        </w:rPr>
        <w:t>,</w:t>
      </w:r>
      <w:r w:rsidR="00B23428" w:rsidRPr="009960CD">
        <w:rPr>
          <w:lang w:val="en-US"/>
        </w:rPr>
        <w:t xml:space="preserve"> the</w:t>
      </w:r>
      <w:r w:rsidR="00557127" w:rsidRPr="009960CD">
        <w:rPr>
          <w:lang w:val="en-US"/>
        </w:rPr>
        <w:t xml:space="preserve"> volume </w:t>
      </w:r>
      <w:r w:rsidR="00FD01CD" w:rsidRPr="009960CD">
        <w:rPr>
          <w:lang w:val="en-US"/>
        </w:rPr>
        <w:t>of exports</w:t>
      </w:r>
      <w:r w:rsidR="00B23428" w:rsidRPr="009960CD">
        <w:rPr>
          <w:lang w:val="en-US"/>
        </w:rPr>
        <w:t xml:space="preserve"> is flat.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00B23428" w:rsidRPr="009960CD">
        <w:rPr>
          <w:lang w:val="en-US"/>
        </w:rPr>
        <w:t xml:space="preserve"> declines and autarky ceases to exist</w:t>
      </w:r>
      <w:r w:rsidR="00FD01CD" w:rsidRPr="009960CD">
        <w:rPr>
          <w:lang w:val="en-US"/>
        </w:rPr>
        <w:t>, export</w:t>
      </w:r>
      <w:r w:rsidR="00144806">
        <w:rPr>
          <w:lang w:val="en-US"/>
        </w:rPr>
        <w:t xml:space="preserve"> </w:t>
      </w:r>
      <w:r w:rsidR="00B23428" w:rsidRPr="009960CD">
        <w:rPr>
          <w:lang w:val="en-US"/>
        </w:rPr>
        <w:t>rise in response</w:t>
      </w:r>
      <w:r w:rsidR="008C4B3F" w:rsidRPr="009960CD">
        <w:rPr>
          <w:lang w:val="en-US"/>
        </w:rPr>
        <w:t xml:space="preserve"> to the increase in its domestic price,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 xml:space="preserve"> ,</m:t>
        </m:r>
      </m:oMath>
      <w:r w:rsidR="008C4B3F" w:rsidRPr="009960CD">
        <w:rPr>
          <w:lang w:val="en-US"/>
        </w:rPr>
        <w:t xml:space="preserve"> as shown in Figure </w:t>
      </w:r>
      <w:r w:rsidR="001451EE">
        <w:rPr>
          <w:lang w:val="en-US"/>
        </w:rPr>
        <w:t>2</w:t>
      </w:r>
      <w:r w:rsidR="008C4B3F" w:rsidRPr="009960CD">
        <w:rPr>
          <w:lang w:val="en-US"/>
        </w:rPr>
        <w:t>(</w:t>
      </w:r>
      <w:r w:rsidR="00506D0E">
        <w:rPr>
          <w:lang w:val="en-US"/>
        </w:rPr>
        <w:t>b</w:t>
      </w:r>
      <w:r w:rsidR="008C4B3F" w:rsidRPr="009960CD">
        <w:rPr>
          <w:lang w:val="en-US"/>
        </w:rPr>
        <w:t xml:space="preserve">). </w:t>
      </w:r>
      <w:r w:rsidR="00144806">
        <w:rPr>
          <w:lang w:val="en-US"/>
        </w:rPr>
        <w:t xml:space="preserve"> </w:t>
      </w:r>
      <w:r w:rsidR="008C4B3F" w:rsidRPr="009960CD">
        <w:rPr>
          <w:lang w:val="en-US"/>
        </w:rPr>
        <w:t xml:space="preserve">As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008C4B3F" w:rsidRPr="009960CD">
        <w:rPr>
          <w:lang w:val="en-US"/>
        </w:rPr>
        <w:t xml:space="preserve"> rises, more labor and </w:t>
      </w:r>
      <w:r w:rsidR="00FD01CD" w:rsidRPr="009960CD">
        <w:rPr>
          <w:lang w:val="en-US"/>
        </w:rPr>
        <w:t>capital shift</w:t>
      </w:r>
      <w:r w:rsidR="008C4B3F" w:rsidRPr="009960CD">
        <w:rPr>
          <w:lang w:val="en-US"/>
        </w:rPr>
        <w:t xml:space="preserve"> to the export sector (from the importable sector),</w:t>
      </w:r>
      <w:r w:rsidR="00506D0E">
        <w:rPr>
          <w:lang w:val="en-US"/>
        </w:rPr>
        <w:t xml:space="preserve"> </w:t>
      </w:r>
      <w:r w:rsidR="00FD01CD" w:rsidRPr="009960CD">
        <w:rPr>
          <w:lang w:val="en-US"/>
        </w:rPr>
        <w:t>until</w:t>
      </w:r>
      <w:r w:rsidR="008C4B3F" w:rsidRPr="009960CD">
        <w:rPr>
          <w:lang w:val="en-US"/>
        </w:rPr>
        <w:t xml:space="preserve"> complete specialization in the export sector occu</w:t>
      </w:r>
      <w:r w:rsidR="00332AFB" w:rsidRPr="009960CD">
        <w:rPr>
          <w:lang w:val="en-US"/>
        </w:rPr>
        <w:t>rs</w:t>
      </w:r>
      <w:r w:rsidR="008C4B3F" w:rsidRPr="009960CD">
        <w:rPr>
          <w:lang w:val="en-US"/>
        </w:rPr>
        <w:t xml:space="preserve"> </w:t>
      </w:r>
      <w:r w:rsidR="00FD01CD" w:rsidRPr="009960CD">
        <w:rPr>
          <w:lang w:val="en-US"/>
        </w:rPr>
        <w:t>(and</w:t>
      </w:r>
      <w:r w:rsidR="008C4B3F" w:rsidRPr="009960CD">
        <w:rPr>
          <w:lang w:val="en-US"/>
        </w:rPr>
        <w:t xml:space="preserve"> the importable good is no longer domestically produced).</w:t>
      </w:r>
      <w:r w:rsidR="006A156D" w:rsidRPr="009960CD">
        <w:rPr>
          <w:rStyle w:val="Appelnotedebasdep"/>
          <w:lang w:val="en-US"/>
        </w:rPr>
        <w:footnoteReference w:id="14"/>
      </w:r>
      <w:r w:rsidR="008C4B3F" w:rsidRPr="009960CD">
        <w:rPr>
          <w:lang w:val="en-US"/>
        </w:rPr>
        <w:t xml:space="preserve"> In accordance with Figure </w:t>
      </w:r>
      <w:r w:rsidR="001451EE">
        <w:rPr>
          <w:lang w:val="en-US"/>
        </w:rPr>
        <w:t>2</w:t>
      </w:r>
      <w:r w:rsidR="008C4B3F" w:rsidRPr="009960CD">
        <w:rPr>
          <w:lang w:val="en-US"/>
        </w:rPr>
        <w:t xml:space="preserve">(a), complete specialization occurs first when the skilled </w:t>
      </w:r>
      <w:r w:rsidR="00FD01CD" w:rsidRPr="009960CD">
        <w:rPr>
          <w:lang w:val="en-US"/>
        </w:rPr>
        <w:t>form the</w:t>
      </w:r>
      <w:r w:rsidR="008C4B3F" w:rsidRPr="009960CD">
        <w:rPr>
          <w:lang w:val="en-US"/>
        </w:rPr>
        <w:t xml:space="preserve"> majority in the welfare state. Second, is the no-welfare-state case, and last is when the unskilled form the majority in the welfare state.</w:t>
      </w:r>
      <w:r w:rsidR="00144806" w:rsidRPr="00144806">
        <w:rPr>
          <w:lang w:val="en-US"/>
        </w:rPr>
        <w:t xml:space="preserve"> </w:t>
      </w:r>
      <w:r w:rsidR="00144806">
        <w:rPr>
          <w:lang w:val="en-US"/>
        </w:rPr>
        <w:t xml:space="preserve">Regardless of the intensity of globalization, the volume of exports is largest when </w:t>
      </w:r>
      <w:r w:rsidR="00144806">
        <w:rPr>
          <w:lang w:val="en-US"/>
        </w:rPr>
        <w:lastRenderedPageBreak/>
        <w:t>the skilled-rich form the majority, intermediate in the no-welfare-state case, and smallest when the unskilled-poor form the majority.</w:t>
      </w:r>
      <w:r w:rsidR="008C4B3F" w:rsidRPr="009960CD">
        <w:rPr>
          <w:rStyle w:val="Appelnotedebasdep"/>
          <w:lang w:val="en-US"/>
        </w:rPr>
        <w:footnoteReference w:id="15"/>
      </w:r>
    </w:p>
    <w:p w14:paraId="05A46D69" w14:textId="5AC303D6" w:rsidR="00D7509B" w:rsidRDefault="00C376C6" w:rsidP="006D4FEE">
      <w:pPr>
        <w:pStyle w:val="10"/>
        <w:rPr>
          <w:lang w:val="en-US"/>
        </w:rPr>
      </w:pPr>
      <w:r>
        <w:rPr>
          <w:lang w:val="en-US"/>
        </w:rPr>
        <w:t xml:space="preserve">Figure </w:t>
      </w:r>
      <w:r w:rsidR="001451EE">
        <w:rPr>
          <w:lang w:val="en-US"/>
        </w:rPr>
        <w:t>2</w:t>
      </w:r>
      <w:r w:rsidR="006D4FEE">
        <w:rPr>
          <w:lang w:val="en-US"/>
        </w:rPr>
        <w:t xml:space="preserve"> (the capital-abundant case): </w:t>
      </w:r>
      <w:r w:rsidR="00D7509B">
        <w:rPr>
          <w:lang w:val="en-US"/>
        </w:rPr>
        <w:t>Exports and Prices</w:t>
      </w:r>
    </w:p>
    <w:p w14:paraId="2CC12C07" w14:textId="529C8C66" w:rsidR="00C376C6" w:rsidRDefault="00D7509B" w:rsidP="006D4FEE">
      <w:pPr>
        <w:pStyle w:val="10"/>
        <w:rPr>
          <w:lang w:val="en-US"/>
        </w:rPr>
      </w:pPr>
      <w:r>
        <w:rPr>
          <w:lang w:val="en-US"/>
        </w:rPr>
        <w:t xml:space="preserve">                                                            </w:t>
      </w:r>
      <w:r w:rsidR="006D4FEE">
        <w:rPr>
          <w:lang w:val="en-US"/>
        </w:rPr>
        <w:t>(a) The domestic relative price of the export good,</w:t>
      </w:r>
    </w:p>
    <w:p w14:paraId="26B97138" w14:textId="57AE9B95" w:rsidR="006D4FEE" w:rsidRDefault="006D4FEE" w:rsidP="006D4FEE">
      <w:pPr>
        <w:pStyle w:val="10"/>
        <w:rPr>
          <w:lang w:val="en-US"/>
        </w:rPr>
      </w:pPr>
      <w:r>
        <w:rPr>
          <w:lang w:val="en-US"/>
        </w:rPr>
        <w:t xml:space="preserve">                                                            (b) The volume of exports</w:t>
      </w:r>
    </w:p>
    <w:p w14:paraId="36CFA9B7" w14:textId="10C1A3F4" w:rsidR="006D4FEE" w:rsidRPr="009960CD" w:rsidRDefault="006D4FEE" w:rsidP="00AB4474">
      <w:pPr>
        <w:pStyle w:val="10"/>
        <w:rPr>
          <w:lang w:val="en-US"/>
        </w:rPr>
      </w:pPr>
      <w:r>
        <w:rPr>
          <w:lang w:val="en-US"/>
        </w:rPr>
        <w:t>Note:   For parameter values</w:t>
      </w:r>
      <w:r w:rsidR="00FD01CD">
        <w:rPr>
          <w:lang w:val="en-US"/>
        </w:rPr>
        <w:t>, see</w:t>
      </w:r>
      <w:r>
        <w:rPr>
          <w:lang w:val="en-US"/>
        </w:rPr>
        <w:t xml:space="preserve"> Appendix.</w:t>
      </w:r>
    </w:p>
    <w:p w14:paraId="69C6CEED" w14:textId="2FEF289D" w:rsidR="00F81E18" w:rsidRDefault="00075206" w:rsidP="00751938">
      <w:pPr>
        <w:pStyle w:val="10"/>
        <w:rPr>
          <w:lang w:val="en-US"/>
        </w:rPr>
      </w:pPr>
      <w:r>
        <w:rPr>
          <w:noProof/>
          <w:lang w:val="fr-FR" w:eastAsia="fr-FR"/>
        </w:rPr>
        <w:lastRenderedPageBreak/>
        <w:drawing>
          <wp:inline distT="0" distB="0" distL="0" distR="0" wp14:anchorId="04F5DF96" wp14:editId="678F3B15">
            <wp:extent cx="5486400" cy="640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6400800"/>
                    </a:xfrm>
                    <a:prstGeom prst="rect">
                      <a:avLst/>
                    </a:prstGeom>
                  </pic:spPr>
                </pic:pic>
              </a:graphicData>
            </a:graphic>
          </wp:inline>
        </w:drawing>
      </w:r>
    </w:p>
    <w:p w14:paraId="0AFD37D6" w14:textId="35CBEFF0" w:rsidR="00F81E18" w:rsidRDefault="00F81E18" w:rsidP="00751938">
      <w:pPr>
        <w:pStyle w:val="10"/>
        <w:rPr>
          <w:lang w:val="en-US"/>
        </w:rPr>
      </w:pPr>
      <w:r w:rsidRPr="009960CD">
        <w:rPr>
          <w:lang w:val="en-US"/>
        </w:rPr>
        <w:t xml:space="preserve"> </w:t>
      </w:r>
    </w:p>
    <w:p w14:paraId="30E30B49" w14:textId="51878654" w:rsidR="00A5450D" w:rsidRPr="009960CD" w:rsidRDefault="00AB4474" w:rsidP="00144806">
      <w:pPr>
        <w:pStyle w:val="10"/>
        <w:rPr>
          <w:lang w:val="en-US"/>
        </w:rPr>
      </w:pPr>
      <w:r>
        <w:rPr>
          <w:lang w:val="en-US"/>
        </w:rPr>
        <w:t>P</w:t>
      </w:r>
      <w:r w:rsidR="00A5450D" w:rsidRPr="009960CD">
        <w:rPr>
          <w:lang w:val="en-US"/>
        </w:rPr>
        <w:t xml:space="preserve">anels </w:t>
      </w:r>
      <w:r>
        <w:rPr>
          <w:lang w:val="en-US"/>
        </w:rPr>
        <w:t xml:space="preserve">(a) and (b) </w:t>
      </w:r>
      <w:r w:rsidR="00A5450D" w:rsidRPr="009960CD">
        <w:rPr>
          <w:lang w:val="en-US"/>
        </w:rPr>
        <w:t xml:space="preserve">of Figure </w:t>
      </w:r>
      <w:r w:rsidR="00144806">
        <w:rPr>
          <w:lang w:val="en-US"/>
        </w:rPr>
        <w:t>2</w:t>
      </w:r>
      <w:r w:rsidR="00A5450D" w:rsidRPr="009960CD">
        <w:rPr>
          <w:lang w:val="en-US"/>
        </w:rPr>
        <w:t xml:space="preserve"> suggest that when the export good is more capital intensive (relative to the import good) in a capital-abundant country (relative to the rest of the world), </w:t>
      </w:r>
      <w:r w:rsidR="00A5450D" w:rsidRPr="009960CD">
        <w:rPr>
          <w:lang w:val="en-US"/>
        </w:rPr>
        <w:lastRenderedPageBreak/>
        <w:t>then</w:t>
      </w:r>
      <w:r w:rsidR="00317349">
        <w:rPr>
          <w:lang w:val="en-US"/>
        </w:rPr>
        <w:t>: (i)</w:t>
      </w:r>
      <w:r w:rsidR="00191F7F" w:rsidRPr="009960CD">
        <w:rPr>
          <w:lang w:val="en-US"/>
        </w:rPr>
        <w:t xml:space="preserve"> </w:t>
      </w:r>
      <w:r w:rsidR="00A5450D" w:rsidRPr="009960CD">
        <w:rPr>
          <w:lang w:val="en-US"/>
        </w:rPr>
        <w:t>the</w:t>
      </w:r>
      <w:r w:rsidR="00131497">
        <w:rPr>
          <w:lang w:val="en-US"/>
        </w:rPr>
        <w:t xml:space="preserve"> </w:t>
      </w:r>
      <w:r w:rsidR="00A5450D" w:rsidRPr="009960CD">
        <w:rPr>
          <w:lang w:val="en-US"/>
        </w:rPr>
        <w:t>skilled-rich are most pro-globalization;</w:t>
      </w:r>
      <w:r w:rsidR="00317349">
        <w:rPr>
          <w:lang w:val="en-US"/>
        </w:rPr>
        <w:t xml:space="preserve"> (ii) t</w:t>
      </w:r>
      <w:r w:rsidR="00A5450D" w:rsidRPr="009960CD">
        <w:rPr>
          <w:lang w:val="en-US"/>
        </w:rPr>
        <w:t>he unskilled-poor are least pro-globalization;</w:t>
      </w:r>
      <w:r w:rsidR="00317349">
        <w:rPr>
          <w:lang w:val="en-US"/>
        </w:rPr>
        <w:t xml:space="preserve"> and, (iii) </w:t>
      </w:r>
      <w:r w:rsidR="00A5450D" w:rsidRPr="009960CD">
        <w:rPr>
          <w:lang w:val="en-US"/>
        </w:rPr>
        <w:t>the case of no welfare state is in between</w:t>
      </w:r>
      <w:r w:rsidR="00317349">
        <w:rPr>
          <w:lang w:val="en-US"/>
        </w:rPr>
        <w:t>.</w:t>
      </w:r>
      <w:r w:rsidR="00C950B2" w:rsidRPr="009960CD">
        <w:rPr>
          <w:lang w:val="en-US"/>
        </w:rPr>
        <w:t xml:space="preserve">  </w:t>
      </w:r>
    </w:p>
    <w:p w14:paraId="3E132C8B" w14:textId="61D79EB6" w:rsidR="00A772AA" w:rsidRDefault="00A772AA" w:rsidP="001451EE">
      <w:pPr>
        <w:pStyle w:val="10"/>
        <w:rPr>
          <w:lang w:val="en-US"/>
        </w:rPr>
      </w:pPr>
      <w:r w:rsidRPr="009960CD">
        <w:rPr>
          <w:lang w:val="en-US"/>
        </w:rPr>
        <w:t xml:space="preserve">Figure </w:t>
      </w:r>
      <w:r w:rsidR="001451EE">
        <w:rPr>
          <w:lang w:val="en-US"/>
        </w:rPr>
        <w:t>3</w:t>
      </w:r>
      <w:r w:rsidRPr="009960CD">
        <w:rPr>
          <w:lang w:val="en-US"/>
        </w:rPr>
        <w:t xml:space="preserve"> describes the effect of increased trade globalization on the pre-tax factor prices.</w:t>
      </w:r>
      <w:r w:rsidR="00A837D1" w:rsidRPr="009960CD">
        <w:rPr>
          <w:lang w:val="en-US"/>
        </w:rPr>
        <w:t xml:space="preserve"> Parallel</w:t>
      </w:r>
      <w:r w:rsidR="00751938">
        <w:rPr>
          <w:lang w:val="en-US"/>
        </w:rPr>
        <w:t xml:space="preserve"> </w:t>
      </w:r>
      <w:r w:rsidRPr="009960CD">
        <w:rPr>
          <w:lang w:val="en-US"/>
        </w:rPr>
        <w:t>to Figure 1,</w:t>
      </w:r>
      <w:r w:rsidR="005733F8" w:rsidRPr="009960CD">
        <w:rPr>
          <w:lang w:val="en-US"/>
        </w:rPr>
        <w:t xml:space="preserve"> </w:t>
      </w:r>
      <w:r w:rsidRPr="009960CD">
        <w:rPr>
          <w:lang w:val="en-US"/>
        </w:rPr>
        <w:t xml:space="preserve">the flat segments reflect autarky (for high values </w:t>
      </w:r>
      <w:r w:rsidR="00A837D1" w:rsidRPr="009960CD">
        <w:rPr>
          <w:lang w:val="en-US"/>
        </w:rPr>
        <w:t xml:space="preserve">of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Once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y</m:t>
            </m:r>
          </m:sub>
        </m:sSub>
      </m:oMath>
      <w:r w:rsidRPr="009960CD">
        <w:rPr>
          <w:lang w:val="en-US"/>
        </w:rPr>
        <w:t xml:space="preserve"> falls below the autarky threshold, the return to capital rises and </w:t>
      </w:r>
      <w:r w:rsidR="00751938">
        <w:rPr>
          <w:lang w:val="en-US"/>
        </w:rPr>
        <w:t xml:space="preserve">the </w:t>
      </w:r>
      <w:r w:rsidRPr="009960CD">
        <w:rPr>
          <w:lang w:val="en-US"/>
        </w:rPr>
        <w:t>wage falls in response to increased globalization, as predicted by the Stolper-</w:t>
      </w:r>
      <w:r w:rsidR="00FD01CD" w:rsidRPr="009960CD">
        <w:rPr>
          <w:lang w:val="en-US"/>
        </w:rPr>
        <w:t>Samuelson mechanism</w:t>
      </w:r>
      <w:r w:rsidRPr="009960CD">
        <w:rPr>
          <w:lang w:val="en-US"/>
        </w:rPr>
        <w:t xml:space="preserve">; see Figure </w:t>
      </w:r>
      <w:r w:rsidR="001451EE">
        <w:rPr>
          <w:lang w:val="en-US"/>
        </w:rPr>
        <w:t>2</w:t>
      </w:r>
      <w:r w:rsidRPr="009960CD">
        <w:rPr>
          <w:lang w:val="en-US"/>
        </w:rPr>
        <w:t>(a)</w:t>
      </w:r>
      <w:r w:rsidR="00FD01CD">
        <w:rPr>
          <w:lang w:val="en-US"/>
        </w:rPr>
        <w:t xml:space="preserve">, </w:t>
      </w:r>
      <w:r w:rsidR="00FD01CD" w:rsidRPr="009960CD">
        <w:rPr>
          <w:lang w:val="en-US"/>
        </w:rPr>
        <w:t>which</w:t>
      </w:r>
      <w:r w:rsidRPr="009960CD">
        <w:rPr>
          <w:lang w:val="en-US"/>
        </w:rPr>
        <w:t xml:space="preserve"> shows that the relative price of capital-intensive good rises. When complete specialization occurs (and this happens for our parameter values only in the no-welfare regime, or when the skilled form the majority), then both factor prices rise as the degree of globalization intensifies. Note also</w:t>
      </w:r>
      <w:r w:rsidR="00A837D1" w:rsidRPr="009960CD">
        <w:rPr>
          <w:lang w:val="en-US"/>
        </w:rPr>
        <w:t xml:space="preserve"> </w:t>
      </w:r>
      <w:r w:rsidR="005666AE" w:rsidRPr="009960CD">
        <w:rPr>
          <w:lang w:val="en-US"/>
        </w:rPr>
        <w:t xml:space="preserve">that in the case of a one-good </w:t>
      </w:r>
      <w:r w:rsidR="00FD01CD" w:rsidRPr="009960CD">
        <w:rPr>
          <w:lang w:val="en-US"/>
        </w:rPr>
        <w:t>production the</w:t>
      </w:r>
      <w:r w:rsidRPr="009960CD">
        <w:rPr>
          <w:lang w:val="en-US"/>
        </w:rPr>
        <w:t xml:space="preserve"> </w:t>
      </w:r>
      <w:r w:rsidR="00FD01CD" w:rsidRPr="009960CD">
        <w:rPr>
          <w:lang w:val="en-US"/>
        </w:rPr>
        <w:t>two-factor</w:t>
      </w:r>
      <w:r w:rsidRPr="009960CD">
        <w:rPr>
          <w:lang w:val="en-US"/>
        </w:rPr>
        <w:t xml:space="preserve"> prices rise at the</w:t>
      </w:r>
      <w:r w:rsidR="00751938">
        <w:rPr>
          <w:lang w:val="en-US"/>
        </w:rPr>
        <w:t xml:space="preserve"> </w:t>
      </w:r>
      <w:r w:rsidR="005666AE" w:rsidRPr="009960CD">
        <w:rPr>
          <w:lang w:val="en-US"/>
        </w:rPr>
        <w:t>same rate—the rate of increase of the domestic price of the export good.</w:t>
      </w:r>
    </w:p>
    <w:p w14:paraId="160AB213" w14:textId="77777777" w:rsidR="00AB4474" w:rsidRDefault="00AB4474" w:rsidP="00AB4474">
      <w:pPr>
        <w:pStyle w:val="10"/>
        <w:rPr>
          <w:lang w:val="en-US"/>
        </w:rPr>
      </w:pPr>
      <w:r>
        <w:rPr>
          <w:lang w:val="en-US"/>
        </w:rPr>
        <w:t>Figure 3(the capital abundant case): Pre-tax Factor Prices</w:t>
      </w:r>
    </w:p>
    <w:p w14:paraId="335E472A" w14:textId="77777777" w:rsidR="00AB4474" w:rsidRDefault="00AB4474" w:rsidP="00AB4474">
      <w:pPr>
        <w:pStyle w:val="10"/>
        <w:rPr>
          <w:lang w:val="en-US"/>
        </w:rPr>
      </w:pPr>
      <w:r>
        <w:rPr>
          <w:lang w:val="en-US"/>
        </w:rPr>
        <w:t xml:space="preserve">                                                             (a) Wage</w:t>
      </w:r>
    </w:p>
    <w:p w14:paraId="42DCDBF1" w14:textId="77777777" w:rsidR="00AB4474" w:rsidRDefault="00AB4474" w:rsidP="00AB4474">
      <w:pPr>
        <w:pStyle w:val="10"/>
        <w:rPr>
          <w:lang w:val="en-US"/>
        </w:rPr>
      </w:pPr>
      <w:r>
        <w:rPr>
          <w:lang w:val="en-US"/>
        </w:rPr>
        <w:t xml:space="preserve">                                                            (b) Domestic return to capital</w:t>
      </w:r>
    </w:p>
    <w:p w14:paraId="2DEE838B" w14:textId="52864BB5" w:rsidR="00AB4474" w:rsidRPr="009960CD" w:rsidRDefault="00AB4474" w:rsidP="00AB4474">
      <w:pPr>
        <w:pStyle w:val="10"/>
        <w:rPr>
          <w:lang w:val="en-US"/>
        </w:rPr>
      </w:pPr>
      <w:r>
        <w:rPr>
          <w:lang w:val="en-US"/>
        </w:rPr>
        <w:t>Note:   For parameter values</w:t>
      </w:r>
      <w:r w:rsidR="00FD01CD">
        <w:rPr>
          <w:lang w:val="en-US"/>
        </w:rPr>
        <w:t>, see</w:t>
      </w:r>
      <w:r>
        <w:rPr>
          <w:lang w:val="en-US"/>
        </w:rPr>
        <w:t xml:space="preserve"> Appendix.</w:t>
      </w:r>
    </w:p>
    <w:p w14:paraId="43044653" w14:textId="20A73CAC" w:rsidR="00AB4474" w:rsidRDefault="00075206" w:rsidP="001451EE">
      <w:pPr>
        <w:pStyle w:val="10"/>
        <w:rPr>
          <w:lang w:val="en-US"/>
        </w:rPr>
      </w:pPr>
      <w:r>
        <w:rPr>
          <w:noProof/>
          <w:lang w:val="fr-FR" w:eastAsia="fr-FR"/>
        </w:rPr>
        <w:lastRenderedPageBreak/>
        <w:drawing>
          <wp:inline distT="0" distB="0" distL="0" distR="0" wp14:anchorId="4ACF5073" wp14:editId="0E4E2DF0">
            <wp:extent cx="5486400" cy="640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6400800"/>
                    </a:xfrm>
                    <a:prstGeom prst="rect">
                      <a:avLst/>
                    </a:prstGeom>
                  </pic:spPr>
                </pic:pic>
              </a:graphicData>
            </a:graphic>
          </wp:inline>
        </w:drawing>
      </w:r>
    </w:p>
    <w:p w14:paraId="2E3E346F" w14:textId="35234EC8" w:rsidR="00E13B10" w:rsidRDefault="00E13B10" w:rsidP="001451EE">
      <w:pPr>
        <w:pStyle w:val="10"/>
        <w:rPr>
          <w:lang w:val="en-US"/>
        </w:rPr>
      </w:pPr>
    </w:p>
    <w:p w14:paraId="05E0EA80" w14:textId="179D4014" w:rsidR="00AB4474" w:rsidRDefault="005666AE" w:rsidP="00A13898">
      <w:pPr>
        <w:pStyle w:val="10"/>
        <w:rPr>
          <w:lang w:val="en-US"/>
        </w:rPr>
      </w:pPr>
      <w:r w:rsidRPr="009960CD">
        <w:rPr>
          <w:lang w:val="en-US"/>
        </w:rPr>
        <w:t xml:space="preserve">  Figure </w:t>
      </w:r>
      <w:r w:rsidR="001451EE">
        <w:rPr>
          <w:lang w:val="en-US"/>
        </w:rPr>
        <w:t>4</w:t>
      </w:r>
      <w:r w:rsidRPr="009960CD">
        <w:rPr>
          <w:lang w:val="en-US"/>
        </w:rPr>
        <w:t xml:space="preserve"> describes the effect of increased globalization on the taxes and the social benefit. There are several patterns to note. First, wh</w:t>
      </w:r>
      <w:r w:rsidR="005733F8" w:rsidRPr="009960CD">
        <w:rPr>
          <w:lang w:val="en-US"/>
        </w:rPr>
        <w:t>e</w:t>
      </w:r>
      <w:r w:rsidRPr="009960CD">
        <w:rPr>
          <w:lang w:val="en-US"/>
        </w:rPr>
        <w:t>n the skilled form the majority, they lev</w:t>
      </w:r>
      <w:r w:rsidR="00751938">
        <w:rPr>
          <w:lang w:val="en-US"/>
        </w:rPr>
        <w:t>y</w:t>
      </w:r>
      <w:r w:rsidRPr="009960CD">
        <w:rPr>
          <w:lang w:val="en-US"/>
        </w:rPr>
        <w:t xml:space="preserve"> taxes on labor only. Analogously, when the unskilled form the majority, they lev</w:t>
      </w:r>
      <w:r w:rsidR="00751938">
        <w:rPr>
          <w:lang w:val="en-US"/>
        </w:rPr>
        <w:t>y</w:t>
      </w:r>
      <w:r w:rsidRPr="009960CD">
        <w:rPr>
          <w:lang w:val="en-US"/>
        </w:rPr>
        <w:t xml:space="preserve"> taxes on capital only. This pattern holds</w:t>
      </w:r>
      <w:r w:rsidR="00751938">
        <w:rPr>
          <w:lang w:val="en-US"/>
        </w:rPr>
        <w:t xml:space="preserve"> </w:t>
      </w:r>
      <w:r w:rsidRPr="009960CD">
        <w:rPr>
          <w:lang w:val="en-US"/>
        </w:rPr>
        <w:t xml:space="preserve">even though the two classes own both capital and labor. However, for our parameter values (the skill-premium   </w:t>
      </w:r>
      <m:oMath>
        <m:r>
          <w:rPr>
            <w:rFonts w:ascii="Cambria Math" w:hAnsi="Cambria Math"/>
            <w:lang w:val="en-US"/>
          </w:rPr>
          <m:t>ρ</m:t>
        </m:r>
      </m:oMath>
      <w:r w:rsidR="008A2635">
        <w:rPr>
          <w:lang w:val="en-US"/>
        </w:rPr>
        <w:t xml:space="preserve">  and the wealth disparity</w:t>
      </w:r>
      <w:r w:rsidRPr="009960CD">
        <w:rPr>
          <w:lang w:val="en-US"/>
        </w:rPr>
        <w:t>), the skill-rich have higher stake in their capital income, whereas the unskilled-poor have higher stake in their labor income.</w:t>
      </w:r>
      <w:r w:rsidR="00EA3F1D">
        <w:rPr>
          <w:rStyle w:val="Appelnotedebasdep"/>
          <w:lang w:val="en-US"/>
        </w:rPr>
        <w:footnoteReference w:id="16"/>
      </w:r>
    </w:p>
    <w:p w14:paraId="4633E0F0" w14:textId="3C5B08A2" w:rsidR="00101D0A" w:rsidRDefault="00101D0A" w:rsidP="000F32AC">
      <w:pPr>
        <w:pStyle w:val="10"/>
        <w:rPr>
          <w:lang w:val="en-US"/>
        </w:rPr>
      </w:pPr>
      <w:r w:rsidRPr="009960CD">
        <w:rPr>
          <w:lang w:val="en-US"/>
        </w:rPr>
        <w:t xml:space="preserve">A second related pattern is that both classes maintain the welfare state when they form the majority. In this </w:t>
      </w:r>
      <w:r w:rsidR="00FD01CD">
        <w:rPr>
          <w:lang w:val="en-US"/>
        </w:rPr>
        <w:t xml:space="preserve">regard, </w:t>
      </w:r>
      <w:r w:rsidR="00FD01CD" w:rsidRPr="009960CD">
        <w:rPr>
          <w:lang w:val="en-US"/>
        </w:rPr>
        <w:t>we</w:t>
      </w:r>
      <w:r w:rsidRPr="009960CD">
        <w:rPr>
          <w:lang w:val="en-US"/>
        </w:rPr>
        <w:t xml:space="preserve"> note that the social benefit B is essential as it consists </w:t>
      </w:r>
      <w:r w:rsidR="00751938">
        <w:rPr>
          <w:lang w:val="en-US"/>
        </w:rPr>
        <w:t>o</w:t>
      </w:r>
      <w:r w:rsidRPr="009960CD">
        <w:rPr>
          <w:lang w:val="en-US"/>
        </w:rPr>
        <w:t xml:space="preserve">f some goods and services that the market does not provide (e.g., job security, health care, etc.). The third </w:t>
      </w:r>
      <w:r w:rsidR="00FD01CD" w:rsidRPr="009960CD">
        <w:rPr>
          <w:lang w:val="en-US"/>
        </w:rPr>
        <w:t>pattern is</w:t>
      </w:r>
      <w:r w:rsidRPr="009960CD">
        <w:rPr>
          <w:lang w:val="en-US"/>
        </w:rPr>
        <w:t xml:space="preserve"> that, as the degree of globalization intensifies, the tax on labor (respectively, capital) rises when the skilled (respectively</w:t>
      </w:r>
      <w:r w:rsidR="00751938">
        <w:rPr>
          <w:lang w:val="en-US"/>
        </w:rPr>
        <w:t>,</w:t>
      </w:r>
      <w:r w:rsidRPr="009960CD">
        <w:rPr>
          <w:lang w:val="en-US"/>
        </w:rPr>
        <w:t xml:space="preserve"> the unskilled) form the majority, and then declines. Indeed each class</w:t>
      </w:r>
      <w:r w:rsidR="00751938">
        <w:rPr>
          <w:lang w:val="en-US"/>
        </w:rPr>
        <w:t xml:space="preserve"> </w:t>
      </w:r>
      <w:r w:rsidRPr="009960CD">
        <w:rPr>
          <w:lang w:val="en-US"/>
        </w:rPr>
        <w:t xml:space="preserve">has an incentive to raise the tax that hurts more the other class, but at some </w:t>
      </w:r>
      <w:r w:rsidR="00FD01CD" w:rsidRPr="009960CD">
        <w:rPr>
          <w:lang w:val="en-US"/>
        </w:rPr>
        <w:t>point,</w:t>
      </w:r>
      <w:r w:rsidRPr="009960CD">
        <w:rPr>
          <w:lang w:val="en-US"/>
        </w:rPr>
        <w:t xml:space="preserve"> the distortion caused by </w:t>
      </w:r>
      <w:r w:rsidR="00751938">
        <w:rPr>
          <w:lang w:val="en-US"/>
        </w:rPr>
        <w:t xml:space="preserve">the </w:t>
      </w:r>
      <w:r w:rsidRPr="009960CD">
        <w:rPr>
          <w:lang w:val="en-US"/>
        </w:rPr>
        <w:t xml:space="preserve">higher </w:t>
      </w:r>
      <w:r w:rsidR="00FD01CD" w:rsidRPr="009960CD">
        <w:rPr>
          <w:lang w:val="en-US"/>
        </w:rPr>
        <w:t>tax stops</w:t>
      </w:r>
      <w:r w:rsidRPr="009960CD">
        <w:rPr>
          <w:lang w:val="en-US"/>
        </w:rPr>
        <w:t xml:space="preserve"> and reverses the rising trend. When the skill-rich raise the labor tax, the distortion stems</w:t>
      </w:r>
      <w:r w:rsidR="00C950B2" w:rsidRPr="009960CD">
        <w:rPr>
          <w:lang w:val="en-US"/>
        </w:rPr>
        <w:t xml:space="preserve"> from skilled emigration. When the unskilled-poor raise the capital tax, the distortion stems from both the skilled emigration and the reduced savings and capital formation.</w:t>
      </w:r>
    </w:p>
    <w:p w14:paraId="70BD826B" w14:textId="77777777" w:rsidR="00D7509B" w:rsidRDefault="00D7509B" w:rsidP="00D7509B">
      <w:pPr>
        <w:pStyle w:val="10"/>
        <w:rPr>
          <w:lang w:val="en-US"/>
        </w:rPr>
      </w:pPr>
      <w:r>
        <w:rPr>
          <w:lang w:val="en-US"/>
        </w:rPr>
        <w:t>Figure 4 (the capital-abundant case): Taxes and Social Benefits</w:t>
      </w:r>
    </w:p>
    <w:p w14:paraId="3141427A" w14:textId="77777777" w:rsidR="00D7509B" w:rsidRDefault="00D7509B" w:rsidP="00D7509B">
      <w:pPr>
        <w:pStyle w:val="10"/>
        <w:rPr>
          <w:lang w:val="en-US"/>
        </w:rPr>
      </w:pPr>
      <w:r>
        <w:rPr>
          <w:lang w:val="en-US"/>
        </w:rPr>
        <w:t xml:space="preserve">                                                          (a) Capital</w:t>
      </w:r>
    </w:p>
    <w:p w14:paraId="2FA002AF" w14:textId="77777777" w:rsidR="00D7509B" w:rsidRDefault="00D7509B" w:rsidP="00D7509B">
      <w:pPr>
        <w:pStyle w:val="10"/>
        <w:rPr>
          <w:lang w:val="en-US"/>
        </w:rPr>
      </w:pPr>
      <w:r>
        <w:rPr>
          <w:lang w:val="en-US"/>
        </w:rPr>
        <w:t xml:space="preserve">                                                            (b) Labor</w:t>
      </w:r>
    </w:p>
    <w:p w14:paraId="2893CE8A" w14:textId="77777777" w:rsidR="00D7509B" w:rsidRDefault="00D7509B" w:rsidP="00D7509B">
      <w:pPr>
        <w:pStyle w:val="10"/>
        <w:rPr>
          <w:lang w:val="en-US"/>
        </w:rPr>
      </w:pPr>
      <w:r>
        <w:rPr>
          <w:lang w:val="en-US"/>
        </w:rPr>
        <w:t xml:space="preserve">                                                          (c) Social Benefit</w:t>
      </w:r>
    </w:p>
    <w:p w14:paraId="3A5FA5CB" w14:textId="06AFFDD6" w:rsidR="00075206" w:rsidRPr="009960CD" w:rsidRDefault="00D7509B" w:rsidP="00A13898">
      <w:pPr>
        <w:pStyle w:val="10"/>
        <w:rPr>
          <w:lang w:val="en-US"/>
        </w:rPr>
      </w:pPr>
      <w:r>
        <w:rPr>
          <w:lang w:val="en-US"/>
        </w:rPr>
        <w:t>Note:   For parameter values</w:t>
      </w:r>
      <w:r w:rsidR="00FD01CD">
        <w:rPr>
          <w:lang w:val="en-US"/>
        </w:rPr>
        <w:t>, see</w:t>
      </w:r>
      <w:r>
        <w:rPr>
          <w:lang w:val="en-US"/>
        </w:rPr>
        <w:t xml:space="preserve"> Appendix.</w:t>
      </w:r>
      <w:r w:rsidR="00075206">
        <w:rPr>
          <w:noProof/>
          <w:lang w:val="fr-FR" w:eastAsia="fr-FR"/>
        </w:rPr>
        <w:drawing>
          <wp:inline distT="0" distB="0" distL="0" distR="0" wp14:anchorId="54150617" wp14:editId="45977F11">
            <wp:extent cx="548640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8229600"/>
                    </a:xfrm>
                    <a:prstGeom prst="rect">
                      <a:avLst/>
                    </a:prstGeom>
                  </pic:spPr>
                </pic:pic>
              </a:graphicData>
            </a:graphic>
          </wp:inline>
        </w:drawing>
      </w:r>
    </w:p>
    <w:p w14:paraId="47B2DCEE" w14:textId="77777777" w:rsidR="00D7509B" w:rsidRDefault="00D7509B" w:rsidP="000F32AC">
      <w:pPr>
        <w:pStyle w:val="10"/>
        <w:rPr>
          <w:lang w:val="en-US"/>
        </w:rPr>
      </w:pPr>
    </w:p>
    <w:p w14:paraId="7EF456C7" w14:textId="25301D51" w:rsidR="00413A60" w:rsidRDefault="00C950B2" w:rsidP="000B0499">
      <w:pPr>
        <w:pStyle w:val="10"/>
        <w:rPr>
          <w:lang w:val="en-US"/>
        </w:rPr>
      </w:pPr>
      <w:r w:rsidRPr="009960CD">
        <w:rPr>
          <w:lang w:val="en-US"/>
        </w:rPr>
        <w:t xml:space="preserve">Figure </w:t>
      </w:r>
      <w:r w:rsidR="001451EE">
        <w:rPr>
          <w:lang w:val="en-US"/>
        </w:rPr>
        <w:t>5</w:t>
      </w:r>
      <w:r w:rsidRPr="009960CD">
        <w:rPr>
          <w:lang w:val="en-US"/>
        </w:rPr>
        <w:t xml:space="preserve"> describes the effects of increased globalization on the well-being of the two classes. First, in the no-welfare state case, the skilled-rich gain and the unskilled-poor lose as trade global</w:t>
      </w:r>
      <w:r w:rsidR="00FD01CD">
        <w:rPr>
          <w:lang w:val="en-US"/>
        </w:rPr>
        <w:t>iz</w:t>
      </w:r>
      <w:r w:rsidRPr="009960CD">
        <w:rPr>
          <w:lang w:val="en-US"/>
        </w:rPr>
        <w:t>ation intensifies (</w:t>
      </w:r>
      <w:r w:rsidR="00751938">
        <w:rPr>
          <w:lang w:val="en-US"/>
        </w:rPr>
        <w:t>recall that</w:t>
      </w:r>
      <w:r w:rsidRPr="009960CD">
        <w:rPr>
          <w:lang w:val="en-US"/>
        </w:rPr>
        <w:t xml:space="preserve"> this is the capital-intensive export configuration). Naturally, a welfare </w:t>
      </w:r>
      <w:r w:rsidR="00FD01CD" w:rsidRPr="009960CD">
        <w:rPr>
          <w:lang w:val="en-US"/>
        </w:rPr>
        <w:t>state, which provides the social benefit B,</w:t>
      </w:r>
      <w:r w:rsidR="00FD01CD">
        <w:rPr>
          <w:lang w:val="en-US"/>
        </w:rPr>
        <w:t xml:space="preserve"> </w:t>
      </w:r>
      <w:r w:rsidR="00FD01CD" w:rsidRPr="009960CD">
        <w:rPr>
          <w:lang w:val="en-US"/>
        </w:rPr>
        <w:t>raises</w:t>
      </w:r>
      <w:r w:rsidRPr="009960CD">
        <w:rPr>
          <w:lang w:val="en-US"/>
        </w:rPr>
        <w:t xml:space="preserve"> utility for all, independently of who form the majority and of the degree of globalization. When the skilled-rich form the majority, increased globalization hardly affects</w:t>
      </w:r>
      <w:r w:rsidR="00635449" w:rsidRPr="009960CD">
        <w:rPr>
          <w:lang w:val="en-US"/>
        </w:rPr>
        <w:t xml:space="preserve"> the unskilled-poor (the welfare state institution therefore mitigates the adverse effect of the globalization </w:t>
      </w:r>
      <w:r w:rsidR="00FD01CD" w:rsidRPr="009960CD">
        <w:rPr>
          <w:lang w:val="en-US"/>
        </w:rPr>
        <w:t>forces per</w:t>
      </w:r>
      <w:r w:rsidR="00635449" w:rsidRPr="009960CD">
        <w:rPr>
          <w:lang w:val="en-US"/>
        </w:rPr>
        <w:t xml:space="preserve"> se</w:t>
      </w:r>
      <w:r w:rsidR="00DC6DBA">
        <w:rPr>
          <w:lang w:val="en-US"/>
        </w:rPr>
        <w:t xml:space="preserve"> on them</w:t>
      </w:r>
      <w:r w:rsidR="00635449" w:rsidRPr="009960CD">
        <w:rPr>
          <w:lang w:val="en-US"/>
        </w:rPr>
        <w:t xml:space="preserve">), while </w:t>
      </w:r>
      <w:r w:rsidR="00DC6DBA" w:rsidRPr="009960CD">
        <w:rPr>
          <w:lang w:val="en-US"/>
        </w:rPr>
        <w:t>benefiting</w:t>
      </w:r>
      <w:r w:rsidR="00635449" w:rsidRPr="009960CD">
        <w:rPr>
          <w:lang w:val="en-US"/>
        </w:rPr>
        <w:t xml:space="preserve"> the rich themselves. When the unskilled-poor form the majority, they not only </w:t>
      </w:r>
      <w:r w:rsidR="00FD01CD" w:rsidRPr="009960CD">
        <w:rPr>
          <w:lang w:val="en-US"/>
        </w:rPr>
        <w:t>no longer</w:t>
      </w:r>
      <w:r w:rsidR="00635449" w:rsidRPr="009960CD">
        <w:rPr>
          <w:lang w:val="en-US"/>
        </w:rPr>
        <w:t xml:space="preserve"> </w:t>
      </w:r>
      <w:r w:rsidR="00FD01CD" w:rsidRPr="009960CD">
        <w:rPr>
          <w:lang w:val="en-US"/>
        </w:rPr>
        <w:t>lo</w:t>
      </w:r>
      <w:r w:rsidR="00FD01CD">
        <w:rPr>
          <w:lang w:val="en-US"/>
        </w:rPr>
        <w:t>se</w:t>
      </w:r>
      <w:r w:rsidR="00FD01CD" w:rsidRPr="009960CD">
        <w:rPr>
          <w:lang w:val="en-US"/>
        </w:rPr>
        <w:t xml:space="preserve"> from</w:t>
      </w:r>
      <w:r w:rsidR="00635449" w:rsidRPr="009960CD">
        <w:rPr>
          <w:lang w:val="en-US"/>
        </w:rPr>
        <w:t xml:space="preserve"> increased globalization (as in </w:t>
      </w:r>
      <w:r w:rsidR="00751938">
        <w:rPr>
          <w:lang w:val="en-US"/>
        </w:rPr>
        <w:t xml:space="preserve">the absence of a welfare state) </w:t>
      </w:r>
      <w:r w:rsidR="00FD01CD">
        <w:rPr>
          <w:lang w:val="en-US"/>
        </w:rPr>
        <w:t>- they</w:t>
      </w:r>
      <w:r w:rsidR="00DC6DBA">
        <w:rPr>
          <w:lang w:val="en-US"/>
        </w:rPr>
        <w:t xml:space="preserve"> actually</w:t>
      </w:r>
      <w:r w:rsidR="00635449" w:rsidRPr="009960CD">
        <w:rPr>
          <w:lang w:val="en-US"/>
        </w:rPr>
        <w:t xml:space="preserve"> gain. They manage   to raise the burden on the skilled to raise their utility</w:t>
      </w:r>
      <w:r w:rsidR="00751938">
        <w:rPr>
          <w:lang w:val="en-US"/>
        </w:rPr>
        <w:t xml:space="preserve">, </w:t>
      </w:r>
      <w:r w:rsidR="00635449" w:rsidRPr="009960CD">
        <w:rPr>
          <w:lang w:val="en-US"/>
        </w:rPr>
        <w:t>as globalization intensifies.</w:t>
      </w:r>
    </w:p>
    <w:p w14:paraId="5C55B3F7" w14:textId="5CD137C6" w:rsidR="00C376C6" w:rsidRDefault="00C376C6" w:rsidP="00D7509B">
      <w:pPr>
        <w:pStyle w:val="10"/>
        <w:rPr>
          <w:lang w:val="en-US"/>
        </w:rPr>
      </w:pPr>
      <w:r>
        <w:rPr>
          <w:lang w:val="en-US"/>
        </w:rPr>
        <w:t xml:space="preserve">Figure </w:t>
      </w:r>
      <w:r w:rsidR="001451EE">
        <w:rPr>
          <w:lang w:val="en-US"/>
        </w:rPr>
        <w:t>5</w:t>
      </w:r>
      <w:r w:rsidR="00D7509B">
        <w:rPr>
          <w:lang w:val="en-US"/>
        </w:rPr>
        <w:t xml:space="preserve"> Capital abundant case)</w:t>
      </w:r>
      <w:r>
        <w:rPr>
          <w:lang w:val="en-US"/>
        </w:rPr>
        <w:t xml:space="preserve">: Utilities </w:t>
      </w:r>
    </w:p>
    <w:p w14:paraId="61558856" w14:textId="5FB007F5" w:rsidR="00D7509B" w:rsidRDefault="00D7509B" w:rsidP="00D7509B">
      <w:pPr>
        <w:pStyle w:val="10"/>
        <w:numPr>
          <w:ilvl w:val="0"/>
          <w:numId w:val="3"/>
        </w:numPr>
        <w:rPr>
          <w:lang w:val="en-US"/>
        </w:rPr>
      </w:pPr>
      <w:r>
        <w:rPr>
          <w:lang w:val="en-US"/>
        </w:rPr>
        <w:t>Unskilled-poor utility</w:t>
      </w:r>
    </w:p>
    <w:p w14:paraId="3BBD13DE" w14:textId="2B6CCB69" w:rsidR="00D7509B" w:rsidRDefault="00D7509B" w:rsidP="00D7509B">
      <w:pPr>
        <w:pStyle w:val="10"/>
        <w:numPr>
          <w:ilvl w:val="0"/>
          <w:numId w:val="3"/>
        </w:numPr>
        <w:rPr>
          <w:lang w:val="en-US"/>
        </w:rPr>
      </w:pPr>
      <w:r>
        <w:rPr>
          <w:lang w:val="en-US"/>
        </w:rPr>
        <w:t>Skilled-rich utility</w:t>
      </w:r>
    </w:p>
    <w:p w14:paraId="7F2E39D0" w14:textId="07C455E3" w:rsidR="00D7509B" w:rsidRDefault="00D7509B" w:rsidP="00D7509B">
      <w:pPr>
        <w:pStyle w:val="10"/>
        <w:ind w:left="3540"/>
        <w:rPr>
          <w:lang w:val="en-US"/>
        </w:rPr>
      </w:pPr>
      <w:r>
        <w:rPr>
          <w:lang w:val="en-US"/>
        </w:rPr>
        <w:t>Note: for parameter values, see Appendix.</w:t>
      </w:r>
    </w:p>
    <w:p w14:paraId="4BC5C403" w14:textId="444E4E4D" w:rsidR="00635449" w:rsidRPr="00413A60" w:rsidRDefault="00075206" w:rsidP="00413A60">
      <w:pPr>
        <w:pStyle w:val="10"/>
      </w:pPr>
      <w:r>
        <w:rPr>
          <w:noProof/>
          <w:lang w:val="fr-FR" w:eastAsia="fr-FR"/>
        </w:rPr>
        <w:drawing>
          <wp:inline distT="0" distB="0" distL="0" distR="0" wp14:anchorId="0B1EB445" wp14:editId="33F67BCE">
            <wp:extent cx="548640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6400800"/>
                    </a:xfrm>
                    <a:prstGeom prst="rect">
                      <a:avLst/>
                    </a:prstGeom>
                  </pic:spPr>
                </pic:pic>
              </a:graphicData>
            </a:graphic>
          </wp:inline>
        </w:drawing>
      </w:r>
    </w:p>
    <w:p w14:paraId="65E2298B" w14:textId="306097E8" w:rsidR="00390701" w:rsidRPr="00E81ABB" w:rsidRDefault="00390701" w:rsidP="00635449">
      <w:pPr>
        <w:pStyle w:val="10"/>
        <w:rPr>
          <w:b/>
          <w:bCs/>
          <w:lang w:val="en-US"/>
        </w:rPr>
      </w:pPr>
      <w:r w:rsidRPr="00E81ABB">
        <w:rPr>
          <w:b/>
          <w:bCs/>
          <w:lang w:val="en-US"/>
        </w:rPr>
        <w:t>5.2 Labor-Abundant Economy</w:t>
      </w:r>
    </w:p>
    <w:p w14:paraId="04B07407" w14:textId="031F796F" w:rsidR="00390701" w:rsidRDefault="00390701" w:rsidP="00390701">
      <w:pPr>
        <w:pStyle w:val="10"/>
        <w:rPr>
          <w:lang w:val="en-US"/>
        </w:rPr>
      </w:pPr>
      <w:r>
        <w:rPr>
          <w:lang w:val="en-US"/>
        </w:rPr>
        <w:t xml:space="preserve">  We turn now to a different set of parameter values that renders our small open economy to be </w:t>
      </w:r>
      <w:r w:rsidR="00FD01CD">
        <w:rPr>
          <w:lang w:val="en-US"/>
        </w:rPr>
        <w:t>a labor</w:t>
      </w:r>
      <w:r>
        <w:rPr>
          <w:lang w:val="en-US"/>
        </w:rPr>
        <w:t>-abundant relative to the rest of the world. That is  the autarky price of the export good which is now the labor-intensive good (good x) is below the world price of that good (1/p*).</w:t>
      </w:r>
    </w:p>
    <w:p w14:paraId="439512B2" w14:textId="43A80CBD" w:rsidR="006C066D" w:rsidRDefault="006C066D" w:rsidP="001451EE">
      <w:pPr>
        <w:pStyle w:val="10"/>
        <w:rPr>
          <w:lang w:val="en-US"/>
        </w:rPr>
      </w:pPr>
      <w:r>
        <w:rPr>
          <w:lang w:val="en-US"/>
        </w:rPr>
        <w:t xml:space="preserve">As can be seen in Figure </w:t>
      </w:r>
      <w:r w:rsidR="001451EE">
        <w:rPr>
          <w:lang w:val="en-US"/>
        </w:rPr>
        <w:t>2</w:t>
      </w:r>
      <w:r>
        <w:rPr>
          <w:lang w:val="en-US"/>
        </w:rPr>
        <w:t>’, as the degree of globalization intensifies (that is</w:t>
      </w:r>
      <w:r w:rsidR="00E81ABB">
        <w:rPr>
          <w:lang w:val="en-US"/>
        </w:rPr>
        <w:t>, as</w:t>
      </w:r>
      <w:r>
        <w:rPr>
          <w:lang w:val="en-US"/>
        </w:rPr>
        <w:t xml:space="preserve">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x</m:t>
            </m:r>
          </m:sub>
        </m:sSub>
      </m:oMath>
      <w:r>
        <w:rPr>
          <w:lang w:val="en-US"/>
        </w:rPr>
        <w:t xml:space="preserve"> declines)</w:t>
      </w:r>
      <w:r w:rsidR="00E81ABB">
        <w:rPr>
          <w:lang w:val="en-US"/>
        </w:rPr>
        <w:t>, t</w:t>
      </w:r>
      <w:r>
        <w:rPr>
          <w:lang w:val="en-US"/>
        </w:rPr>
        <w:t>he first departure from autarky occurs when the unskilled</w:t>
      </w:r>
      <w:r w:rsidR="00E81ABB">
        <w:rPr>
          <w:lang w:val="en-US"/>
        </w:rPr>
        <w:t>-poor</w:t>
      </w:r>
      <w:r>
        <w:rPr>
          <w:lang w:val="en-US"/>
        </w:rPr>
        <w:t xml:space="preserve"> form the majority.  Next, i</w:t>
      </w:r>
      <w:r w:rsidR="00E81ABB">
        <w:rPr>
          <w:lang w:val="en-US"/>
        </w:rPr>
        <w:t>s</w:t>
      </w:r>
      <w:r>
        <w:rPr>
          <w:lang w:val="en-US"/>
        </w:rPr>
        <w:t xml:space="preserve"> the case of no welfare state; and the last departure from autarky occurs when the skilled</w:t>
      </w:r>
      <w:r w:rsidR="00E81ABB">
        <w:rPr>
          <w:lang w:val="en-US"/>
        </w:rPr>
        <w:t>-rich</w:t>
      </w:r>
      <w:r>
        <w:rPr>
          <w:lang w:val="en-US"/>
        </w:rPr>
        <w:t xml:space="preserve"> form the majority. A mirror image is what happens to the volume of exports after the departure from autarky: it is the largest when the unskilled</w:t>
      </w:r>
      <w:r w:rsidR="00E81ABB">
        <w:rPr>
          <w:lang w:val="en-US"/>
        </w:rPr>
        <w:t>-poor</w:t>
      </w:r>
      <w:r>
        <w:rPr>
          <w:lang w:val="en-US"/>
        </w:rPr>
        <w:t xml:space="preserve"> form the majority; intermediate under </w:t>
      </w:r>
      <w:r w:rsidR="00FD01CD">
        <w:rPr>
          <w:lang w:val="en-US"/>
        </w:rPr>
        <w:t>the no</w:t>
      </w:r>
      <w:r w:rsidR="00E81ABB">
        <w:rPr>
          <w:lang w:val="en-US"/>
        </w:rPr>
        <w:t>-</w:t>
      </w:r>
      <w:r>
        <w:rPr>
          <w:lang w:val="en-US"/>
        </w:rPr>
        <w:t xml:space="preserve"> welfare</w:t>
      </w:r>
      <w:r w:rsidR="00E81ABB">
        <w:rPr>
          <w:lang w:val="en-US"/>
        </w:rPr>
        <w:t>-</w:t>
      </w:r>
      <w:r>
        <w:rPr>
          <w:lang w:val="en-US"/>
        </w:rPr>
        <w:t>state regime, and smallest when the skilled</w:t>
      </w:r>
      <w:r w:rsidR="00E81ABB">
        <w:rPr>
          <w:lang w:val="en-US"/>
        </w:rPr>
        <w:t>-rich</w:t>
      </w:r>
      <w:r>
        <w:rPr>
          <w:lang w:val="en-US"/>
        </w:rPr>
        <w:t xml:space="preserve"> form the majority.</w:t>
      </w:r>
    </w:p>
    <w:p w14:paraId="7D14FF49" w14:textId="5C6371B9" w:rsidR="000F32AC" w:rsidRDefault="000F32AC" w:rsidP="00E81ABB">
      <w:pPr>
        <w:pStyle w:val="10"/>
        <w:rPr>
          <w:lang w:val="en-US"/>
        </w:rPr>
      </w:pPr>
      <w:r>
        <w:rPr>
          <w:lang w:val="en-US"/>
        </w:rPr>
        <w:t xml:space="preserve">As in the capital-abundance </w:t>
      </w:r>
      <w:r w:rsidR="002C1B21">
        <w:rPr>
          <w:lang w:val="en-US"/>
        </w:rPr>
        <w:t>case,</w:t>
      </w:r>
      <w:r>
        <w:rPr>
          <w:lang w:val="en-US"/>
        </w:rPr>
        <w:t xml:space="preserve"> also in the labor abundance case, </w:t>
      </w:r>
      <w:r w:rsidRPr="009960CD">
        <w:rPr>
          <w:lang w:val="en-US"/>
        </w:rPr>
        <w:t>when the skilled</w:t>
      </w:r>
      <w:r w:rsidR="00E81ABB">
        <w:rPr>
          <w:lang w:val="en-US"/>
        </w:rPr>
        <w:t>-rich</w:t>
      </w:r>
      <w:r w:rsidRPr="009960CD">
        <w:rPr>
          <w:lang w:val="en-US"/>
        </w:rPr>
        <w:t xml:space="preserve"> form the majority, they lev</w:t>
      </w:r>
      <w:r w:rsidR="00E81ABB">
        <w:rPr>
          <w:lang w:val="en-US"/>
        </w:rPr>
        <w:t>y</w:t>
      </w:r>
      <w:r w:rsidRPr="009960CD">
        <w:rPr>
          <w:lang w:val="en-US"/>
        </w:rPr>
        <w:t xml:space="preserve"> taxes on labor only. Analogously, when the unskilled</w:t>
      </w:r>
      <w:r w:rsidR="00E81ABB">
        <w:rPr>
          <w:lang w:val="en-US"/>
        </w:rPr>
        <w:t>-poor</w:t>
      </w:r>
      <w:r w:rsidRPr="009960CD">
        <w:rPr>
          <w:lang w:val="en-US"/>
        </w:rPr>
        <w:t xml:space="preserve"> form the majority, they lev</w:t>
      </w:r>
      <w:r w:rsidR="00E81ABB">
        <w:rPr>
          <w:lang w:val="en-US"/>
        </w:rPr>
        <w:t>y</w:t>
      </w:r>
      <w:r w:rsidRPr="009960CD">
        <w:rPr>
          <w:lang w:val="en-US"/>
        </w:rPr>
        <w:t xml:space="preserve"> taxes on capital only.</w:t>
      </w:r>
    </w:p>
    <w:p w14:paraId="44B45DF8" w14:textId="6008D682" w:rsidR="006C066D" w:rsidRDefault="006C066D" w:rsidP="002D088C">
      <w:pPr>
        <w:pStyle w:val="10"/>
        <w:rPr>
          <w:lang w:val="en-US"/>
        </w:rPr>
      </w:pPr>
      <w:r>
        <w:rPr>
          <w:lang w:val="en-US"/>
        </w:rPr>
        <w:t xml:space="preserve"> In contrast to the capital-abundance case, </w:t>
      </w:r>
      <w:r w:rsidR="00AA08E5">
        <w:rPr>
          <w:lang w:val="en-US"/>
        </w:rPr>
        <w:t>it is now the unskilled-poor who are the most pro-globalization; the skilled-rich are the least pro-globalization; and in the absence of a welfare state system</w:t>
      </w:r>
      <w:r w:rsidR="00FD01CD">
        <w:rPr>
          <w:lang w:val="en-US"/>
        </w:rPr>
        <w:t>, the</w:t>
      </w:r>
      <w:r w:rsidR="00AA08E5">
        <w:rPr>
          <w:lang w:val="en-US"/>
        </w:rPr>
        <w:t xml:space="preserve"> </w:t>
      </w:r>
      <w:r w:rsidR="002C1B21">
        <w:rPr>
          <w:lang w:val="en-US"/>
        </w:rPr>
        <w:t>economy</w:t>
      </w:r>
      <w:r w:rsidR="002D088C">
        <w:rPr>
          <w:lang w:val="en-US"/>
        </w:rPr>
        <w:t xml:space="preserve">’s </w:t>
      </w:r>
      <w:r w:rsidR="00AA08E5">
        <w:rPr>
          <w:lang w:val="en-US"/>
        </w:rPr>
        <w:t>posture toward globalization is in between.</w:t>
      </w:r>
      <w:r w:rsidR="0054534B">
        <w:rPr>
          <w:rStyle w:val="Appelnotedebasdep"/>
          <w:lang w:val="en-US"/>
        </w:rPr>
        <w:footnoteReference w:id="17"/>
      </w:r>
    </w:p>
    <w:p w14:paraId="6CB1FE39" w14:textId="4D677443" w:rsidR="00C376C6" w:rsidRDefault="00C376C6" w:rsidP="00D7509B">
      <w:pPr>
        <w:pStyle w:val="10"/>
        <w:rPr>
          <w:lang w:val="en-US"/>
        </w:rPr>
      </w:pPr>
      <w:r>
        <w:rPr>
          <w:lang w:val="en-US"/>
        </w:rPr>
        <w:t xml:space="preserve">Figure </w:t>
      </w:r>
      <w:r w:rsidR="001451EE">
        <w:rPr>
          <w:lang w:val="en-US"/>
        </w:rPr>
        <w:t>2</w:t>
      </w:r>
      <w:r>
        <w:rPr>
          <w:lang w:val="en-US"/>
        </w:rPr>
        <w:t>’</w:t>
      </w:r>
      <w:r w:rsidR="00D7509B">
        <w:rPr>
          <w:lang w:val="en-US"/>
        </w:rPr>
        <w:t>(The labor-abundant case): Exports and Prices</w:t>
      </w:r>
    </w:p>
    <w:p w14:paraId="78040602" w14:textId="0E578F16" w:rsidR="00D7509B" w:rsidRDefault="00D7509B" w:rsidP="00D7509B">
      <w:pPr>
        <w:pStyle w:val="10"/>
        <w:numPr>
          <w:ilvl w:val="0"/>
          <w:numId w:val="4"/>
        </w:numPr>
        <w:rPr>
          <w:lang w:val="en-US"/>
        </w:rPr>
      </w:pPr>
      <w:r>
        <w:rPr>
          <w:lang w:val="en-US"/>
        </w:rPr>
        <w:t>The domestic relative price</w:t>
      </w:r>
    </w:p>
    <w:p w14:paraId="38BB8E86" w14:textId="6A651CE1" w:rsidR="00D7509B" w:rsidRDefault="00D7509B" w:rsidP="00D7509B">
      <w:pPr>
        <w:pStyle w:val="10"/>
        <w:numPr>
          <w:ilvl w:val="0"/>
          <w:numId w:val="4"/>
        </w:numPr>
        <w:rPr>
          <w:lang w:val="en-US"/>
        </w:rPr>
      </w:pPr>
      <w:r>
        <w:rPr>
          <w:lang w:val="en-US"/>
        </w:rPr>
        <w:t xml:space="preserve"> The volume of exports</w:t>
      </w:r>
    </w:p>
    <w:p w14:paraId="501901C1" w14:textId="4411E6CA" w:rsidR="00D7509B" w:rsidRDefault="00D7509B" w:rsidP="00D7509B">
      <w:pPr>
        <w:pStyle w:val="10"/>
        <w:ind w:left="3480"/>
        <w:rPr>
          <w:lang w:val="en-US"/>
        </w:rPr>
      </w:pPr>
      <w:r>
        <w:rPr>
          <w:lang w:val="en-US"/>
        </w:rPr>
        <w:t xml:space="preserve">Note: for parameter values see Appendix. </w:t>
      </w:r>
    </w:p>
    <w:p w14:paraId="72011C28" w14:textId="2FA214C8" w:rsidR="00D7509B" w:rsidRDefault="00D7509B" w:rsidP="00D7509B">
      <w:pPr>
        <w:pStyle w:val="10"/>
        <w:rPr>
          <w:lang w:val="en-US"/>
        </w:rPr>
      </w:pPr>
      <w:r>
        <w:rPr>
          <w:lang w:val="en-US"/>
        </w:rPr>
        <w:t xml:space="preserve">                                                   </w:t>
      </w:r>
    </w:p>
    <w:p w14:paraId="7131ABA3" w14:textId="28417EDD" w:rsidR="00E13B10" w:rsidRDefault="00075206" w:rsidP="001451EE">
      <w:pPr>
        <w:pStyle w:val="10"/>
        <w:rPr>
          <w:lang w:val="en-US"/>
        </w:rPr>
      </w:pPr>
      <w:r>
        <w:rPr>
          <w:noProof/>
          <w:lang w:val="fr-FR" w:eastAsia="fr-FR"/>
        </w:rPr>
        <w:drawing>
          <wp:inline distT="0" distB="0" distL="0" distR="0" wp14:anchorId="73ACB103" wp14:editId="430FA56E">
            <wp:extent cx="5486400" cy="640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6400" cy="6400800"/>
                    </a:xfrm>
                    <a:prstGeom prst="rect">
                      <a:avLst/>
                    </a:prstGeom>
                  </pic:spPr>
                </pic:pic>
              </a:graphicData>
            </a:graphic>
          </wp:inline>
        </w:drawing>
      </w:r>
    </w:p>
    <w:p w14:paraId="0D168985" w14:textId="3F19EC97" w:rsidR="00AA08E5" w:rsidRDefault="00AA08E5" w:rsidP="001451EE">
      <w:pPr>
        <w:pStyle w:val="10"/>
        <w:rPr>
          <w:lang w:val="en-US"/>
        </w:rPr>
      </w:pPr>
      <w:r>
        <w:rPr>
          <w:lang w:val="en-US"/>
        </w:rPr>
        <w:t xml:space="preserve">An interesting contrast arises when looking at the well-being of the two classes; compare Figures </w:t>
      </w:r>
      <w:r w:rsidR="001451EE">
        <w:rPr>
          <w:lang w:val="en-US"/>
        </w:rPr>
        <w:t>5</w:t>
      </w:r>
      <w:r>
        <w:rPr>
          <w:lang w:val="en-US"/>
        </w:rPr>
        <w:t xml:space="preserve"> and </w:t>
      </w:r>
      <w:r w:rsidR="001451EE">
        <w:rPr>
          <w:lang w:val="en-US"/>
        </w:rPr>
        <w:t>5</w:t>
      </w:r>
      <w:r>
        <w:rPr>
          <w:lang w:val="en-US"/>
        </w:rPr>
        <w:t>’. First, the gainers from intensified globalization in the absence of the welfare state (where only market forces without redistribution of income drive the equilibrium</w:t>
      </w:r>
      <w:r w:rsidR="002C1B21">
        <w:rPr>
          <w:lang w:val="en-US"/>
        </w:rPr>
        <w:t>) are</w:t>
      </w:r>
      <w:r>
        <w:rPr>
          <w:lang w:val="en-US"/>
        </w:rPr>
        <w:t xml:space="preserve"> </w:t>
      </w:r>
      <w:r w:rsidR="002C1B21">
        <w:rPr>
          <w:lang w:val="en-US"/>
        </w:rPr>
        <w:t>now the</w:t>
      </w:r>
      <w:r>
        <w:rPr>
          <w:lang w:val="en-US"/>
        </w:rPr>
        <w:t xml:space="preserve"> unskilled-poor</w:t>
      </w:r>
      <w:r w:rsidR="002C1B21">
        <w:rPr>
          <w:lang w:val="en-US"/>
        </w:rPr>
        <w:t xml:space="preserve">, </w:t>
      </w:r>
      <w:r>
        <w:rPr>
          <w:lang w:val="en-US"/>
        </w:rPr>
        <w:t>whereas the losers are the skilled-rich. For it is now the labor-intensive good which is exported, and consequently the wage rises and the return to capital falls with increased globalization.</w:t>
      </w:r>
      <w:r w:rsidR="008254DE">
        <w:rPr>
          <w:lang w:val="en-US"/>
        </w:rPr>
        <w:t xml:space="preserve"> In both the capital-intensive export and the labor-intensive export cases, the welfare state, which provides the social benefit B, improves the well-being of the two classes</w:t>
      </w:r>
      <w:r w:rsidR="002C1B21">
        <w:rPr>
          <w:lang w:val="en-US"/>
        </w:rPr>
        <w:t xml:space="preserve">, </w:t>
      </w:r>
      <w:r w:rsidR="008254DE">
        <w:rPr>
          <w:lang w:val="en-US"/>
        </w:rPr>
        <w:t>irrespectively of the intensity of globalization.</w:t>
      </w:r>
    </w:p>
    <w:p w14:paraId="5DDC9C5E" w14:textId="3C5C8497" w:rsidR="00C376C6" w:rsidRDefault="00C376C6" w:rsidP="00D7509B">
      <w:pPr>
        <w:pStyle w:val="10"/>
        <w:rPr>
          <w:lang w:val="en-US"/>
        </w:rPr>
      </w:pPr>
      <w:r>
        <w:rPr>
          <w:lang w:val="en-US"/>
        </w:rPr>
        <w:t xml:space="preserve">Figure </w:t>
      </w:r>
      <w:r w:rsidR="001451EE">
        <w:rPr>
          <w:lang w:val="en-US"/>
        </w:rPr>
        <w:t>5</w:t>
      </w:r>
      <w:r>
        <w:rPr>
          <w:lang w:val="en-US"/>
        </w:rPr>
        <w:t>’</w:t>
      </w:r>
      <w:r w:rsidR="00D7509B">
        <w:rPr>
          <w:lang w:val="en-US"/>
        </w:rPr>
        <w:t xml:space="preserve">(The labor-abundant case): </w:t>
      </w:r>
      <w:r w:rsidR="00F54CB0">
        <w:rPr>
          <w:lang w:val="en-US"/>
        </w:rPr>
        <w:t xml:space="preserve"> Utilities</w:t>
      </w:r>
    </w:p>
    <w:p w14:paraId="44576614" w14:textId="67F3E335" w:rsidR="00F54CB0" w:rsidRDefault="00F54CB0" w:rsidP="00D7509B">
      <w:pPr>
        <w:pStyle w:val="10"/>
        <w:rPr>
          <w:lang w:val="en-US"/>
        </w:rPr>
      </w:pPr>
      <w:r>
        <w:rPr>
          <w:lang w:val="en-US"/>
        </w:rPr>
        <w:t xml:space="preserve">           Note: for parameter values: see Appendix.</w:t>
      </w:r>
    </w:p>
    <w:p w14:paraId="076DFFFD" w14:textId="77777777" w:rsidR="00E13B10" w:rsidRDefault="00E13B10" w:rsidP="001451EE">
      <w:pPr>
        <w:pStyle w:val="10"/>
        <w:rPr>
          <w:lang w:val="en-US"/>
        </w:rPr>
      </w:pPr>
    </w:p>
    <w:p w14:paraId="22023693" w14:textId="66C4B074" w:rsidR="00E13B10" w:rsidRDefault="00075206" w:rsidP="001451EE">
      <w:pPr>
        <w:pStyle w:val="10"/>
        <w:rPr>
          <w:lang w:val="en-US"/>
        </w:rPr>
      </w:pPr>
      <w:r>
        <w:rPr>
          <w:noProof/>
          <w:lang w:val="fr-FR" w:eastAsia="fr-FR"/>
        </w:rPr>
        <w:drawing>
          <wp:inline distT="0" distB="0" distL="0" distR="0" wp14:anchorId="22B24190" wp14:editId="2B89E89C">
            <wp:extent cx="5486400" cy="6400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6400800"/>
                    </a:xfrm>
                    <a:prstGeom prst="rect">
                      <a:avLst/>
                    </a:prstGeom>
                  </pic:spPr>
                </pic:pic>
              </a:graphicData>
            </a:graphic>
          </wp:inline>
        </w:drawing>
      </w:r>
    </w:p>
    <w:p w14:paraId="03074C47" w14:textId="77777777" w:rsidR="00E13B10" w:rsidRDefault="00E13B10" w:rsidP="001451EE">
      <w:pPr>
        <w:pStyle w:val="10"/>
        <w:rPr>
          <w:lang w:val="en-US"/>
        </w:rPr>
      </w:pPr>
    </w:p>
    <w:p w14:paraId="2427A2AD" w14:textId="019D1A51" w:rsidR="008254DE" w:rsidRDefault="008254DE" w:rsidP="002C1B21">
      <w:pPr>
        <w:pStyle w:val="10"/>
        <w:rPr>
          <w:lang w:val="en-US"/>
        </w:rPr>
      </w:pPr>
      <w:r>
        <w:rPr>
          <w:lang w:val="en-US"/>
        </w:rPr>
        <w:t xml:space="preserve">In the present case, when the unskilled-poor form the majority, then increased globalization ameliorates their well-being, as expected; whereas the skilled-rich are hardly affected (again, the existence of the welfare state mitigates the adverse effects of globalization on them). When the skilled-rich form the majority, they not only no longer lose from intensified globalization (as in </w:t>
      </w:r>
      <w:r w:rsidR="002C1B21">
        <w:rPr>
          <w:lang w:val="en-US"/>
        </w:rPr>
        <w:t>the</w:t>
      </w:r>
      <w:r>
        <w:rPr>
          <w:lang w:val="en-US"/>
        </w:rPr>
        <w:t xml:space="preserve"> absence of the welfare state)—they actually gain by increasing the burden on the unskilled-poor.</w:t>
      </w:r>
    </w:p>
    <w:p w14:paraId="4A9A5D30" w14:textId="77777777" w:rsidR="0082009A" w:rsidRDefault="0082009A" w:rsidP="002C1B21">
      <w:pPr>
        <w:pStyle w:val="10"/>
        <w:rPr>
          <w:lang w:val="en-US"/>
        </w:rPr>
      </w:pPr>
    </w:p>
    <w:p w14:paraId="1EF5D148" w14:textId="13CB6DC3" w:rsidR="0082009A" w:rsidRDefault="0082009A" w:rsidP="002C1B21">
      <w:pPr>
        <w:pStyle w:val="10"/>
        <w:rPr>
          <w:b/>
          <w:bCs/>
          <w:lang w:val="en-US"/>
        </w:rPr>
      </w:pPr>
      <w:r w:rsidRPr="0082009A">
        <w:rPr>
          <w:b/>
          <w:bCs/>
          <w:lang w:val="en-US"/>
        </w:rPr>
        <w:t xml:space="preserve">6. </w:t>
      </w:r>
      <w:r w:rsidR="00F54CB0">
        <w:rPr>
          <w:b/>
          <w:bCs/>
          <w:lang w:val="en-US"/>
        </w:rPr>
        <w:t xml:space="preserve"> </w:t>
      </w:r>
      <w:r w:rsidRPr="0082009A">
        <w:rPr>
          <w:b/>
          <w:bCs/>
          <w:lang w:val="en-US"/>
        </w:rPr>
        <w:t>Financial Globalization</w:t>
      </w:r>
    </w:p>
    <w:p w14:paraId="2A9E545D" w14:textId="54E1DCCA" w:rsidR="00B92C50" w:rsidRDefault="0082009A" w:rsidP="00854329">
      <w:pPr>
        <w:pStyle w:val="10"/>
        <w:rPr>
          <w:lang w:val="en-US"/>
        </w:rPr>
      </w:pPr>
      <w:r>
        <w:rPr>
          <w:lang w:val="en-US"/>
        </w:rPr>
        <w:t xml:space="preserve">We turn now to the case of financial globalization. As before, we capture the ease of globalization by the level of the friction cost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A lower level of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means a higher degree of financial globalization. Note that in the case of capital exports (corresponding to </w:t>
      </w:r>
      <w:r w:rsidR="00854329">
        <w:rPr>
          <w:lang w:val="en-US"/>
        </w:rPr>
        <w:t xml:space="preserve">a </w:t>
      </w:r>
      <w:r>
        <w:rPr>
          <w:lang w:val="en-US"/>
        </w:rPr>
        <w:t xml:space="preserve">positive </w:t>
      </w:r>
      <w:r w:rsidR="00854329">
        <w:rPr>
          <w:lang w:val="en-US"/>
        </w:rPr>
        <w:t xml:space="preserve">sum of </w:t>
      </w:r>
      <w:r>
        <w:rPr>
          <w:lang w:val="en-US"/>
        </w:rPr>
        <w:t xml:space="preserve"> net foreign assets position), a decline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raises the return to investing abroad</w:t>
      </w:r>
      <w:r w:rsidR="00B92C50">
        <w:rPr>
          <w:lang w:val="en-US"/>
        </w:rPr>
        <w:t>,</w:t>
      </w:r>
      <w:r>
        <w:rPr>
          <w:lang w:val="en-US"/>
        </w:rPr>
        <w:t xml:space="preserve"> and thereby stimulat</w:t>
      </w:r>
      <w:r w:rsidR="00854329">
        <w:rPr>
          <w:lang w:val="en-US"/>
        </w:rPr>
        <w:t>es</w:t>
      </w:r>
      <w:r>
        <w:rPr>
          <w:lang w:val="en-US"/>
        </w:rPr>
        <w:t xml:space="preserve"> it (see equation (1)). In the case of capital imports (corresponding to </w:t>
      </w:r>
      <w:r w:rsidR="00854329">
        <w:rPr>
          <w:lang w:val="en-US"/>
        </w:rPr>
        <w:t xml:space="preserve">a </w:t>
      </w:r>
      <w:r>
        <w:rPr>
          <w:lang w:val="en-US"/>
        </w:rPr>
        <w:t xml:space="preserve">negative </w:t>
      </w:r>
      <w:r w:rsidR="00854329">
        <w:rPr>
          <w:lang w:val="en-US"/>
        </w:rPr>
        <w:t>sum</w:t>
      </w:r>
      <w:r w:rsidR="00B2541A">
        <w:rPr>
          <w:lang w:val="en-US"/>
        </w:rPr>
        <w:t xml:space="preserve"> of net </w:t>
      </w:r>
      <w:r>
        <w:rPr>
          <w:lang w:val="en-US"/>
        </w:rPr>
        <w:t xml:space="preserve">foreign assets position) , a decline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raises</w:t>
      </w:r>
      <w:r w:rsidR="00B92C50">
        <w:rPr>
          <w:lang w:val="en-US"/>
        </w:rPr>
        <w:t xml:space="preserve"> the return to foreigners on their investment in our small open economy, and  thereby accelerate</w:t>
      </w:r>
      <w:r w:rsidR="00B2541A">
        <w:rPr>
          <w:lang w:val="en-US"/>
        </w:rPr>
        <w:t>s</w:t>
      </w:r>
      <w:r w:rsidR="00B92C50">
        <w:rPr>
          <w:lang w:val="en-US"/>
        </w:rPr>
        <w:t xml:space="preserve"> it (see equation (2)).</w:t>
      </w:r>
    </w:p>
    <w:p w14:paraId="1D372F47" w14:textId="77777777" w:rsidR="00B92C50" w:rsidRPr="00B92C50" w:rsidRDefault="00B92C50" w:rsidP="00B92C50">
      <w:pPr>
        <w:pStyle w:val="10"/>
        <w:rPr>
          <w:b/>
          <w:bCs/>
          <w:lang w:val="en-US"/>
        </w:rPr>
      </w:pPr>
      <w:r w:rsidRPr="00B92C50">
        <w:rPr>
          <w:b/>
          <w:bCs/>
          <w:lang w:val="en-US"/>
        </w:rPr>
        <w:t>6.1 Capital Exports</w:t>
      </w:r>
    </w:p>
    <w:p w14:paraId="26EEB2A1" w14:textId="77777777" w:rsidR="00B2541A" w:rsidRDefault="00B2541A" w:rsidP="00B92C50">
      <w:pPr>
        <w:pStyle w:val="10"/>
        <w:rPr>
          <w:lang w:val="en-US"/>
        </w:rPr>
      </w:pPr>
      <w:r>
        <w:rPr>
          <w:lang w:val="en-US"/>
        </w:rPr>
        <w:t>We consider first the case of capital exports.</w:t>
      </w:r>
    </w:p>
    <w:p w14:paraId="2B8917FF" w14:textId="098B7EB8" w:rsidR="0082009A" w:rsidRDefault="00B92C50" w:rsidP="00B2541A">
      <w:pPr>
        <w:pStyle w:val="10"/>
        <w:rPr>
          <w:lang w:val="en-US"/>
        </w:rPr>
      </w:pPr>
      <w:r>
        <w:rPr>
          <w:lang w:val="en-US"/>
        </w:rPr>
        <w:t>Figure 6</w:t>
      </w:r>
      <w:r w:rsidR="00B2541A">
        <w:rPr>
          <w:lang w:val="en-US"/>
        </w:rPr>
        <w:t xml:space="preserve">(a)  </w:t>
      </w:r>
      <w:r>
        <w:rPr>
          <w:lang w:val="en-US"/>
        </w:rPr>
        <w:t xml:space="preserve">  suggests, as expected</w:t>
      </w:r>
      <w:r w:rsidR="00B2541A">
        <w:rPr>
          <w:lang w:val="en-US"/>
        </w:rPr>
        <w:t>,</w:t>
      </w:r>
      <w:r>
        <w:rPr>
          <w:lang w:val="en-US"/>
        </w:rPr>
        <w:t xml:space="preserve"> that a decline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increases unambiguously the export of capital</w:t>
      </w:r>
      <w:r w:rsidR="00B2541A">
        <w:rPr>
          <w:lang w:val="en-US"/>
        </w:rPr>
        <w:t>.</w:t>
      </w:r>
      <w:r>
        <w:rPr>
          <w:lang w:val="en-US"/>
        </w:rPr>
        <w:t xml:space="preserve"> The mirror image of this graph is illustrated</w:t>
      </w:r>
      <w:r w:rsidR="00B2541A">
        <w:rPr>
          <w:lang w:val="en-US"/>
        </w:rPr>
        <w:t xml:space="preserve"> in Figure</w:t>
      </w:r>
      <w:r>
        <w:rPr>
          <w:lang w:val="en-US"/>
        </w:rPr>
        <w:t xml:space="preserve"> 6(b) where we can see that the highe</w:t>
      </w:r>
      <w:r w:rsidR="00B2541A">
        <w:rPr>
          <w:lang w:val="en-US"/>
        </w:rPr>
        <w:t>r</w:t>
      </w:r>
      <w:r w:rsidR="003A4879">
        <w:rPr>
          <w:lang w:val="en-US"/>
        </w:rPr>
        <w:t xml:space="preserve"> </w:t>
      </w:r>
      <w:r>
        <w:rPr>
          <w:lang w:val="en-US"/>
        </w:rPr>
        <w:t>volume of capital exports decreases the stock of domestic capital.</w:t>
      </w:r>
      <w:r w:rsidR="00B2541A">
        <w:rPr>
          <w:lang w:val="en-US"/>
        </w:rPr>
        <w:t xml:space="preserve"> This result holds no matter whether the skilled-rich or unskilled-poor form the majority; or whether the welfare state is present.</w:t>
      </w:r>
    </w:p>
    <w:p w14:paraId="7E3E8C95" w14:textId="727525F0" w:rsidR="00F54CB0" w:rsidRDefault="00B92C50" w:rsidP="00B92C50">
      <w:pPr>
        <w:pStyle w:val="10"/>
        <w:rPr>
          <w:lang w:val="en-US"/>
        </w:rPr>
      </w:pPr>
      <w:r>
        <w:rPr>
          <w:lang w:val="en-US"/>
        </w:rPr>
        <w:t xml:space="preserve">Figure </w:t>
      </w:r>
      <w:r w:rsidR="00F63BF2">
        <w:rPr>
          <w:lang w:val="en-US"/>
        </w:rPr>
        <w:t>6</w:t>
      </w:r>
      <w:r w:rsidR="00F54CB0">
        <w:rPr>
          <w:lang w:val="en-US"/>
        </w:rPr>
        <w:t>: Capital Exports and Domestic Capital</w:t>
      </w:r>
    </w:p>
    <w:p w14:paraId="35BBDCDA" w14:textId="4334FFC1" w:rsidR="00F63BF2" w:rsidRDefault="00713958" w:rsidP="00E42613">
      <w:pPr>
        <w:pStyle w:val="10"/>
        <w:rPr>
          <w:lang w:val="en-US"/>
        </w:rPr>
      </w:pPr>
      <w:r>
        <w:rPr>
          <w:noProof/>
          <w:lang w:val="fr-FR" w:eastAsia="fr-FR"/>
        </w:rPr>
        <w:drawing>
          <wp:inline distT="0" distB="0" distL="0" distR="0" wp14:anchorId="04C91503" wp14:editId="3137C2B2">
            <wp:extent cx="5486400" cy="822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8229600"/>
                    </a:xfrm>
                    <a:prstGeom prst="rect">
                      <a:avLst/>
                    </a:prstGeom>
                  </pic:spPr>
                </pic:pic>
              </a:graphicData>
            </a:graphic>
          </wp:inline>
        </w:drawing>
      </w:r>
      <w:r w:rsidR="00F63BF2">
        <w:rPr>
          <w:lang w:val="en-US"/>
        </w:rPr>
        <w:t xml:space="preserve"> </w:t>
      </w:r>
      <w:r w:rsidR="00F54CB0">
        <w:rPr>
          <w:lang w:val="en-US"/>
        </w:rPr>
        <w:t xml:space="preserve">                                </w:t>
      </w:r>
    </w:p>
    <w:p w14:paraId="6D347773" w14:textId="77777777" w:rsidR="00E42613" w:rsidRDefault="00E42613" w:rsidP="00E42613">
      <w:pPr>
        <w:pStyle w:val="10"/>
        <w:rPr>
          <w:lang w:val="en-US"/>
        </w:rPr>
      </w:pPr>
      <w:r>
        <w:rPr>
          <w:lang w:val="en-US"/>
        </w:rPr>
        <w:t xml:space="preserve">  (a)Volume of capital exports</w:t>
      </w:r>
    </w:p>
    <w:p w14:paraId="10D75B1C" w14:textId="77777777" w:rsidR="00E42613" w:rsidRDefault="00E42613" w:rsidP="00E42613">
      <w:pPr>
        <w:pStyle w:val="10"/>
        <w:rPr>
          <w:lang w:val="en-US"/>
        </w:rPr>
      </w:pPr>
      <w:r>
        <w:rPr>
          <w:lang w:val="en-US"/>
        </w:rPr>
        <w:t xml:space="preserve">                                    (b)  Stock of domestic capital</w:t>
      </w:r>
    </w:p>
    <w:p w14:paraId="30CEFD0A" w14:textId="77777777" w:rsidR="00E42613" w:rsidRDefault="00E42613" w:rsidP="00E42613">
      <w:pPr>
        <w:pStyle w:val="10"/>
        <w:rPr>
          <w:lang w:val="en-US"/>
        </w:rPr>
      </w:pPr>
      <w:r>
        <w:rPr>
          <w:lang w:val="en-US"/>
        </w:rPr>
        <w:t xml:space="preserve">                                     (c)  Savings; Note: For parameter values, see Appendix.</w:t>
      </w:r>
    </w:p>
    <w:p w14:paraId="12D7D945" w14:textId="77777777" w:rsidR="00E42613" w:rsidRDefault="00E42613" w:rsidP="00026330">
      <w:pPr>
        <w:pStyle w:val="10"/>
        <w:rPr>
          <w:lang w:val="en-US"/>
        </w:rPr>
      </w:pPr>
    </w:p>
    <w:p w14:paraId="7DB6E9CE" w14:textId="77777777" w:rsidR="00E42613" w:rsidRDefault="00E42613" w:rsidP="00026330">
      <w:pPr>
        <w:pStyle w:val="10"/>
        <w:rPr>
          <w:lang w:val="en-US"/>
        </w:rPr>
      </w:pPr>
    </w:p>
    <w:p w14:paraId="44154C8E" w14:textId="4D08AE04" w:rsidR="00F63BF2" w:rsidRDefault="003A4879" w:rsidP="00026330">
      <w:pPr>
        <w:pStyle w:val="10"/>
        <w:rPr>
          <w:lang w:val="en-US"/>
        </w:rPr>
      </w:pPr>
      <w:r>
        <w:rPr>
          <w:lang w:val="en-US"/>
        </w:rPr>
        <w:t>Interestingly, both the skilled-rich and the unskilled-poor  increase the level of capital exports, relative to the case of no-welfare-state</w:t>
      </w:r>
      <w:r w:rsidR="00B2541A">
        <w:rPr>
          <w:lang w:val="en-US"/>
        </w:rPr>
        <w:t xml:space="preserve">, for all levels of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B2541A">
        <w:rPr>
          <w:lang w:val="en-US"/>
        </w:rPr>
        <w:t xml:space="preserve"> .</w:t>
      </w:r>
      <w:r>
        <w:rPr>
          <w:lang w:val="en-US"/>
        </w:rPr>
        <w:t xml:space="preserve"> As expected, w</w:t>
      </w:r>
      <w:r w:rsidR="00F63BF2">
        <w:rPr>
          <w:lang w:val="en-US"/>
        </w:rPr>
        <w:t>ith source based capital taxation</w:t>
      </w:r>
      <w:r w:rsidR="00B2541A">
        <w:rPr>
          <w:lang w:val="en-US"/>
        </w:rPr>
        <w:t xml:space="preserve"> in the welfare state, </w:t>
      </w:r>
      <w:r w:rsidR="00F63BF2">
        <w:rPr>
          <w:lang w:val="en-US"/>
        </w:rPr>
        <w:t>which exempts capital exported abroad from taxes</w:t>
      </w:r>
      <w:r w:rsidR="0027671D">
        <w:rPr>
          <w:lang w:val="en-US"/>
        </w:rPr>
        <w:t xml:space="preserve">, while levying taxes on capital invested at home, </w:t>
      </w:r>
      <w:r w:rsidR="00F63BF2">
        <w:rPr>
          <w:lang w:val="en-US"/>
        </w:rPr>
        <w:t xml:space="preserve">the incentive to export capital is </w:t>
      </w:r>
      <w:r>
        <w:rPr>
          <w:lang w:val="en-US"/>
        </w:rPr>
        <w:t>amplified</w:t>
      </w:r>
      <w:r w:rsidR="00F63BF2">
        <w:rPr>
          <w:lang w:val="en-US"/>
        </w:rPr>
        <w:t xml:space="preserve">. </w:t>
      </w:r>
      <w:r>
        <w:rPr>
          <w:lang w:val="en-US"/>
        </w:rPr>
        <w:t xml:space="preserve">One may </w:t>
      </w:r>
      <w:r w:rsidR="00D227C3">
        <w:rPr>
          <w:lang w:val="en-US"/>
        </w:rPr>
        <w:t xml:space="preserve">wonder why, </w:t>
      </w:r>
      <w:r w:rsidR="0027671D">
        <w:rPr>
          <w:lang w:val="en-US"/>
        </w:rPr>
        <w:t xml:space="preserve">notwithstanding  </w:t>
      </w:r>
      <w:r w:rsidR="00D227C3">
        <w:rPr>
          <w:lang w:val="en-US"/>
        </w:rPr>
        <w:t xml:space="preserve"> the f</w:t>
      </w:r>
      <w:r>
        <w:rPr>
          <w:lang w:val="en-US"/>
        </w:rPr>
        <w:t>act that the welfare state encourages capital exports, the domest</w:t>
      </w:r>
      <w:r w:rsidR="0045408D">
        <w:rPr>
          <w:lang w:val="en-US"/>
        </w:rPr>
        <w:t xml:space="preserve">ic </w:t>
      </w:r>
      <w:r>
        <w:rPr>
          <w:lang w:val="en-US"/>
        </w:rPr>
        <w:t xml:space="preserve"> stock of capital is</w:t>
      </w:r>
      <w:r w:rsidR="0027671D">
        <w:rPr>
          <w:lang w:val="en-US"/>
        </w:rPr>
        <w:t xml:space="preserve"> nevertheless still</w:t>
      </w:r>
      <w:r>
        <w:rPr>
          <w:lang w:val="en-US"/>
        </w:rPr>
        <w:t xml:space="preserve"> larger </w:t>
      </w:r>
      <w:r w:rsidR="0027671D">
        <w:rPr>
          <w:lang w:val="en-US"/>
        </w:rPr>
        <w:t>i</w:t>
      </w:r>
      <w:r>
        <w:rPr>
          <w:lang w:val="en-US"/>
        </w:rPr>
        <w:t>n the presence of the welfare state, relative to the case of no-welfare-state. The reason is that the welfare state</w:t>
      </w:r>
      <w:r w:rsidR="0027671D">
        <w:rPr>
          <w:lang w:val="en-US"/>
        </w:rPr>
        <w:t xml:space="preserve"> enhances wellbeing and </w:t>
      </w:r>
      <w:r>
        <w:rPr>
          <w:lang w:val="en-US"/>
        </w:rPr>
        <w:t xml:space="preserve"> boosts domestic saving (see </w:t>
      </w:r>
      <w:r w:rsidR="0027671D">
        <w:rPr>
          <w:lang w:val="en-US"/>
        </w:rPr>
        <w:t>F</w:t>
      </w:r>
      <w:r>
        <w:rPr>
          <w:lang w:val="en-US"/>
        </w:rPr>
        <w:t>igure</w:t>
      </w:r>
      <w:r w:rsidR="00026330">
        <w:rPr>
          <w:lang w:val="en-US"/>
        </w:rPr>
        <w:t xml:space="preserve"> 6</w:t>
      </w:r>
      <w:r w:rsidR="008A2635">
        <w:rPr>
          <w:lang w:val="en-US"/>
        </w:rPr>
        <w:t xml:space="preserve">(c). </w:t>
      </w:r>
      <w:r w:rsidR="0027671D">
        <w:rPr>
          <w:lang w:val="en-US"/>
        </w:rPr>
        <w:t xml:space="preserve"> Naturally, when the capital-labor ratio falls, as the result of capital exports, pre-tax return to capital return to capital </w:t>
      </w:r>
      <w:r w:rsidR="00026330">
        <w:rPr>
          <w:lang w:val="en-US"/>
        </w:rPr>
        <w:t xml:space="preserve">rises and the pre-tax wage falls. </w:t>
      </w:r>
    </w:p>
    <w:p w14:paraId="646DD5BF" w14:textId="7B86B597" w:rsidR="008A2635" w:rsidRDefault="008A2635" w:rsidP="008A2635">
      <w:pPr>
        <w:pStyle w:val="10"/>
        <w:rPr>
          <w:lang w:val="en-US"/>
        </w:rPr>
      </w:pPr>
    </w:p>
    <w:p w14:paraId="2A5D04F7" w14:textId="77777777" w:rsidR="0045408D" w:rsidRDefault="008A2635" w:rsidP="008A2635">
      <w:pPr>
        <w:pStyle w:val="10"/>
        <w:rPr>
          <w:lang w:val="en-US"/>
        </w:rPr>
      </w:pPr>
      <w:r>
        <w:rPr>
          <w:lang w:val="en-US"/>
        </w:rPr>
        <w:t xml:space="preserve">Figure 7 presents </w:t>
      </w:r>
      <w:r w:rsidRPr="009960CD">
        <w:rPr>
          <w:lang w:val="en-US"/>
        </w:rPr>
        <w:t>the effect of increased globalization on the taxes and the social benefit</w:t>
      </w:r>
      <w:r w:rsidR="0045408D">
        <w:rPr>
          <w:lang w:val="en-US"/>
        </w:rPr>
        <w:t>.</w:t>
      </w:r>
    </w:p>
    <w:p w14:paraId="242FA035" w14:textId="052BE2A0" w:rsidR="00E42613" w:rsidRDefault="0045408D" w:rsidP="00F850AB">
      <w:pPr>
        <w:pStyle w:val="10"/>
        <w:rPr>
          <w:lang w:val="en-US"/>
        </w:rPr>
      </w:pPr>
      <w:r>
        <w:rPr>
          <w:lang w:val="en-US"/>
        </w:rPr>
        <w:t xml:space="preserve">Both </w:t>
      </w:r>
      <w:r w:rsidR="008A2635" w:rsidRPr="009960CD">
        <w:rPr>
          <w:lang w:val="en-US"/>
        </w:rPr>
        <w:t>when the skilled</w:t>
      </w:r>
      <w:r>
        <w:rPr>
          <w:lang w:val="en-US"/>
        </w:rPr>
        <w:t>-rich</w:t>
      </w:r>
      <w:r w:rsidR="008A2635" w:rsidRPr="009960CD">
        <w:rPr>
          <w:lang w:val="en-US"/>
        </w:rPr>
        <w:t xml:space="preserve"> form the majority,</w:t>
      </w:r>
      <w:r>
        <w:rPr>
          <w:lang w:val="en-US"/>
        </w:rPr>
        <w:t xml:space="preserve"> or the unskilled-poor form the majority</w:t>
      </w:r>
      <w:r w:rsidR="008A2635" w:rsidRPr="009960CD">
        <w:rPr>
          <w:lang w:val="en-US"/>
        </w:rPr>
        <w:t xml:space="preserve"> they lev</w:t>
      </w:r>
      <w:r w:rsidR="008A2635">
        <w:rPr>
          <w:lang w:val="en-US"/>
        </w:rPr>
        <w:t>y</w:t>
      </w:r>
      <w:r w:rsidR="008A2635" w:rsidRPr="009960CD">
        <w:rPr>
          <w:lang w:val="en-US"/>
        </w:rPr>
        <w:t xml:space="preserve"> taxes on</w:t>
      </w:r>
      <w:r>
        <w:rPr>
          <w:lang w:val="en-US"/>
        </w:rPr>
        <w:t xml:space="preserve"> bot</w:t>
      </w:r>
      <w:r w:rsidR="00026330">
        <w:rPr>
          <w:lang w:val="en-US"/>
        </w:rPr>
        <w:t>h</w:t>
      </w:r>
      <w:r>
        <w:rPr>
          <w:lang w:val="en-US"/>
        </w:rPr>
        <w:t xml:space="preserve"> capital and </w:t>
      </w:r>
      <w:r w:rsidR="008A2635" w:rsidRPr="009960CD">
        <w:rPr>
          <w:lang w:val="en-US"/>
        </w:rPr>
        <w:t xml:space="preserve"> labor</w:t>
      </w:r>
      <w:r>
        <w:rPr>
          <w:lang w:val="en-US"/>
        </w:rPr>
        <w:t xml:space="preserve">. </w:t>
      </w:r>
      <w:r w:rsidR="00026330">
        <w:rPr>
          <w:lang w:val="en-US"/>
        </w:rPr>
        <w:t xml:space="preserve">As globalization intensifies and the capital tax base shrinks, as a result of capital outflows, both types of majority raise taxes on labor and capital. </w:t>
      </w:r>
      <w:r>
        <w:rPr>
          <w:lang w:val="en-US"/>
        </w:rPr>
        <w:t>T</w:t>
      </w:r>
      <w:r w:rsidR="008A2635" w:rsidRPr="009960CD">
        <w:rPr>
          <w:lang w:val="en-US"/>
        </w:rPr>
        <w:t>he social benefit</w:t>
      </w:r>
      <w:r w:rsidR="00026330">
        <w:rPr>
          <w:lang w:val="en-US"/>
        </w:rPr>
        <w:t>,</w:t>
      </w:r>
      <w:r w:rsidR="008A2635" w:rsidRPr="009960CD">
        <w:rPr>
          <w:lang w:val="en-US"/>
        </w:rPr>
        <w:t xml:space="preserve"> B</w:t>
      </w:r>
      <w:r w:rsidR="00026330">
        <w:rPr>
          <w:lang w:val="en-US"/>
        </w:rPr>
        <w:t>, being</w:t>
      </w:r>
      <w:r w:rsidR="008A2635" w:rsidRPr="009960CD">
        <w:rPr>
          <w:lang w:val="en-US"/>
        </w:rPr>
        <w:t xml:space="preserve"> essential</w:t>
      </w:r>
      <w:r w:rsidR="00026330">
        <w:rPr>
          <w:lang w:val="en-US"/>
        </w:rPr>
        <w:t xml:space="preserve">, </w:t>
      </w:r>
      <w:r w:rsidR="008A2635" w:rsidRPr="009960CD">
        <w:rPr>
          <w:lang w:val="en-US"/>
        </w:rPr>
        <w:t>consist</w:t>
      </w:r>
      <w:r w:rsidR="00026330">
        <w:rPr>
          <w:lang w:val="en-US"/>
        </w:rPr>
        <w:t>ing</w:t>
      </w:r>
      <w:r w:rsidR="008A2635" w:rsidRPr="009960CD">
        <w:rPr>
          <w:lang w:val="en-US"/>
        </w:rPr>
        <w:t xml:space="preserve"> </w:t>
      </w:r>
      <w:r w:rsidR="008A2635">
        <w:rPr>
          <w:lang w:val="en-US"/>
        </w:rPr>
        <w:t>o</w:t>
      </w:r>
      <w:r w:rsidR="008A2635" w:rsidRPr="009960CD">
        <w:rPr>
          <w:lang w:val="en-US"/>
        </w:rPr>
        <w:t>f some goods and services that the market does not provide</w:t>
      </w:r>
      <w:r w:rsidR="00026330" w:rsidRPr="009960CD">
        <w:rPr>
          <w:lang w:val="en-US"/>
        </w:rPr>
        <w:t>(e.g., job security, health care, etc.)</w:t>
      </w:r>
      <w:r w:rsidR="00026330">
        <w:rPr>
          <w:lang w:val="en-US"/>
        </w:rPr>
        <w:t xml:space="preserve"> rise moderately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026330">
        <w:rPr>
          <w:lang w:val="en-US"/>
        </w:rPr>
        <w:t xml:space="preserve"> falls and wellbeing is ameliorated </w:t>
      </w:r>
      <w:r w:rsidR="008A2635" w:rsidRPr="009960CD">
        <w:rPr>
          <w:lang w:val="en-US"/>
        </w:rPr>
        <w:t xml:space="preserve">. </w:t>
      </w:r>
      <w:r w:rsidR="00E42613">
        <w:rPr>
          <w:noProof/>
          <w:lang w:val="fr-FR" w:eastAsia="fr-FR"/>
        </w:rPr>
        <w:drawing>
          <wp:inline distT="0" distB="0" distL="0" distR="0" wp14:anchorId="78452068" wp14:editId="0EF93A2F">
            <wp:extent cx="5486400" cy="822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8229600"/>
                    </a:xfrm>
                    <a:prstGeom prst="rect">
                      <a:avLst/>
                    </a:prstGeom>
                  </pic:spPr>
                </pic:pic>
              </a:graphicData>
            </a:graphic>
          </wp:inline>
        </w:drawing>
      </w:r>
    </w:p>
    <w:p w14:paraId="7FDEFEA8" w14:textId="103DE4C1" w:rsidR="008A2635" w:rsidRDefault="0045408D" w:rsidP="00F54CB0">
      <w:pPr>
        <w:pStyle w:val="10"/>
        <w:rPr>
          <w:lang w:val="en-US"/>
        </w:rPr>
      </w:pPr>
      <w:r>
        <w:rPr>
          <w:lang w:val="en-US"/>
        </w:rPr>
        <w:t>Figure 7</w:t>
      </w:r>
      <w:r w:rsidR="00F54CB0">
        <w:rPr>
          <w:lang w:val="en-US"/>
        </w:rPr>
        <w:t xml:space="preserve"> (The capital-export case)</w:t>
      </w:r>
      <w:r>
        <w:rPr>
          <w:lang w:val="en-US"/>
        </w:rPr>
        <w:t>: Taxes and Social Benefits</w:t>
      </w:r>
    </w:p>
    <w:p w14:paraId="317D7550" w14:textId="0014C777" w:rsidR="00F54CB0" w:rsidRDefault="00F54CB0" w:rsidP="00F54CB0">
      <w:pPr>
        <w:pStyle w:val="10"/>
        <w:numPr>
          <w:ilvl w:val="0"/>
          <w:numId w:val="5"/>
        </w:numPr>
        <w:rPr>
          <w:lang w:val="en-US"/>
        </w:rPr>
      </w:pPr>
      <w:r>
        <w:rPr>
          <w:lang w:val="en-US"/>
        </w:rPr>
        <w:t>Capital tax rate</w:t>
      </w:r>
    </w:p>
    <w:p w14:paraId="2178A323" w14:textId="77777777" w:rsidR="00F54CB0" w:rsidRDefault="00F54CB0" w:rsidP="00F54CB0">
      <w:pPr>
        <w:pStyle w:val="10"/>
        <w:numPr>
          <w:ilvl w:val="0"/>
          <w:numId w:val="5"/>
        </w:numPr>
        <w:rPr>
          <w:lang w:val="en-US"/>
        </w:rPr>
      </w:pPr>
      <w:r>
        <w:rPr>
          <w:lang w:val="en-US"/>
        </w:rPr>
        <w:t>Labor tax rate</w:t>
      </w:r>
    </w:p>
    <w:p w14:paraId="119C5711" w14:textId="77777777" w:rsidR="00F54CB0" w:rsidRDefault="00F54CB0" w:rsidP="00F54CB0">
      <w:pPr>
        <w:pStyle w:val="10"/>
        <w:numPr>
          <w:ilvl w:val="0"/>
          <w:numId w:val="5"/>
        </w:numPr>
        <w:rPr>
          <w:lang w:val="en-US"/>
        </w:rPr>
      </w:pPr>
      <w:r>
        <w:rPr>
          <w:lang w:val="en-US"/>
        </w:rPr>
        <w:t>The volume of social benefits</w:t>
      </w:r>
    </w:p>
    <w:p w14:paraId="4F164A5A" w14:textId="77777777" w:rsidR="00075206" w:rsidRDefault="00F54CB0" w:rsidP="00075206">
      <w:pPr>
        <w:pStyle w:val="10"/>
        <w:ind w:left="3300"/>
        <w:rPr>
          <w:lang w:val="en-US"/>
        </w:rPr>
      </w:pPr>
      <w:r>
        <w:rPr>
          <w:lang w:val="en-US"/>
        </w:rPr>
        <w:t xml:space="preserve">Note: for parameter values, see Appendix.   </w:t>
      </w:r>
    </w:p>
    <w:p w14:paraId="3AC56516" w14:textId="1BD70D8D" w:rsidR="00F54CB0" w:rsidRDefault="00F54CB0" w:rsidP="00075206">
      <w:pPr>
        <w:pStyle w:val="10"/>
        <w:ind w:left="3300"/>
        <w:jc w:val="left"/>
        <w:rPr>
          <w:lang w:val="en-US"/>
        </w:rPr>
      </w:pPr>
      <w:r>
        <w:rPr>
          <w:lang w:val="en-US"/>
        </w:rPr>
        <w:t xml:space="preserve">           </w:t>
      </w:r>
    </w:p>
    <w:p w14:paraId="57E9E53C" w14:textId="1F03BF63" w:rsidR="0045408D" w:rsidRDefault="0045408D" w:rsidP="008A2635">
      <w:pPr>
        <w:pStyle w:val="10"/>
        <w:rPr>
          <w:lang w:val="en-US"/>
        </w:rPr>
      </w:pPr>
    </w:p>
    <w:p w14:paraId="229032E4" w14:textId="77777777" w:rsidR="0045408D" w:rsidRPr="0082009A" w:rsidRDefault="0045408D" w:rsidP="008A2635">
      <w:pPr>
        <w:pStyle w:val="10"/>
        <w:rPr>
          <w:lang w:val="en-US"/>
        </w:rPr>
      </w:pPr>
    </w:p>
    <w:p w14:paraId="344832BC" w14:textId="3D91A696" w:rsidR="000B0499" w:rsidRDefault="000B0499" w:rsidP="00F850AB">
      <w:pPr>
        <w:pStyle w:val="10"/>
        <w:rPr>
          <w:lang w:val="en-US"/>
        </w:rPr>
      </w:pPr>
      <w:r w:rsidRPr="009960CD">
        <w:rPr>
          <w:lang w:val="en-US"/>
        </w:rPr>
        <w:t xml:space="preserve">Naturally, </w:t>
      </w:r>
      <w:r w:rsidR="00DF1763">
        <w:rPr>
          <w:lang w:val="en-US"/>
        </w:rPr>
        <w:t>the</w:t>
      </w:r>
      <w:r w:rsidRPr="009960CD">
        <w:rPr>
          <w:lang w:val="en-US"/>
        </w:rPr>
        <w:t xml:space="preserve"> welfare state</w:t>
      </w:r>
      <w:r w:rsidR="00F850AB">
        <w:rPr>
          <w:lang w:val="en-US"/>
        </w:rPr>
        <w:t>,</w:t>
      </w:r>
      <w:r w:rsidRPr="009960CD">
        <w:rPr>
          <w:lang w:val="en-US"/>
        </w:rPr>
        <w:t xml:space="preserve"> which provides the social benefit B</w:t>
      </w:r>
      <w:r w:rsidR="00026330">
        <w:rPr>
          <w:lang w:val="en-US"/>
        </w:rPr>
        <w:t>,</w:t>
      </w:r>
      <w:r w:rsidRPr="009960CD">
        <w:rPr>
          <w:lang w:val="en-US"/>
        </w:rPr>
        <w:t xml:space="preserve"> raises utility for all, independently of who form the majority and of the degree of globalization. </w:t>
      </w:r>
    </w:p>
    <w:p w14:paraId="37FC583E" w14:textId="1BC61738" w:rsidR="000B0499" w:rsidRDefault="000B0499" w:rsidP="00AA08E5">
      <w:pPr>
        <w:pStyle w:val="10"/>
        <w:rPr>
          <w:lang w:val="en-US"/>
        </w:rPr>
      </w:pPr>
    </w:p>
    <w:p w14:paraId="7F3E0F3C" w14:textId="3EDD55A0" w:rsidR="000B0499" w:rsidRPr="000B0499" w:rsidRDefault="000B0499" w:rsidP="00AA08E5">
      <w:pPr>
        <w:pStyle w:val="10"/>
        <w:rPr>
          <w:b/>
          <w:bCs/>
          <w:lang w:val="en-US"/>
        </w:rPr>
      </w:pPr>
      <w:r w:rsidRPr="000B0499">
        <w:rPr>
          <w:b/>
          <w:bCs/>
          <w:lang w:val="en-US"/>
        </w:rPr>
        <w:t>6.2 Capital Imports</w:t>
      </w:r>
    </w:p>
    <w:p w14:paraId="28D6EDAE" w14:textId="25A93DEB" w:rsidR="00DF1763" w:rsidRDefault="00DF1763" w:rsidP="00772272">
      <w:pPr>
        <w:pStyle w:val="10"/>
        <w:rPr>
          <w:lang w:val="en-US"/>
        </w:rPr>
      </w:pPr>
      <w:r>
        <w:rPr>
          <w:lang w:val="en-US"/>
        </w:rPr>
        <w:t>We turn now to the case of capital imports.</w:t>
      </w:r>
    </w:p>
    <w:p w14:paraId="1EFF50DE" w14:textId="6DD4CE1C" w:rsidR="00D72B8C" w:rsidRDefault="000B0499" w:rsidP="00F850AB">
      <w:pPr>
        <w:pStyle w:val="10"/>
        <w:rPr>
          <w:lang w:val="en-US"/>
        </w:rPr>
      </w:pPr>
      <w:r>
        <w:rPr>
          <w:lang w:val="en-US"/>
        </w:rPr>
        <w:t>Figure 8(a) suggests, as expected</w:t>
      </w:r>
      <w:r w:rsidR="00F850AB">
        <w:rPr>
          <w:lang w:val="en-US" w:bidi="he-IL"/>
        </w:rPr>
        <w:t xml:space="preserve">, </w:t>
      </w:r>
      <w:r>
        <w:rPr>
          <w:lang w:val="en-US"/>
        </w:rPr>
        <w:t xml:space="preserve">that a decline in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Pr>
          <w:lang w:val="en-US"/>
        </w:rPr>
        <w:t xml:space="preserve"> increases unambiguously the imports of capital, in the absence of a welfare state (where market forces work alone). The mirror image of this graph is illustrated </w:t>
      </w:r>
      <w:r w:rsidR="00DF1763">
        <w:rPr>
          <w:lang w:val="en-US"/>
        </w:rPr>
        <w:t xml:space="preserve"> in Figure </w:t>
      </w:r>
      <w:r w:rsidR="00D227C3">
        <w:rPr>
          <w:lang w:val="en-US"/>
        </w:rPr>
        <w:t>8</w:t>
      </w:r>
      <w:r>
        <w:rPr>
          <w:lang w:val="en-US"/>
        </w:rPr>
        <w:t>(b)</w:t>
      </w:r>
      <w:r w:rsidR="00DF1763">
        <w:rPr>
          <w:lang w:val="en-US"/>
        </w:rPr>
        <w:t>,</w:t>
      </w:r>
      <w:r>
        <w:rPr>
          <w:lang w:val="en-US"/>
        </w:rPr>
        <w:t xml:space="preserve"> where we can see that the higher</w:t>
      </w:r>
      <w:r w:rsidR="00772272">
        <w:rPr>
          <w:lang w:val="en-US"/>
        </w:rPr>
        <w:t xml:space="preserve"> </w:t>
      </w:r>
      <w:r>
        <w:rPr>
          <w:lang w:val="en-US"/>
        </w:rPr>
        <w:t xml:space="preserve">volume of capital </w:t>
      </w:r>
      <w:r w:rsidR="00DF1763">
        <w:rPr>
          <w:lang w:val="en-US"/>
        </w:rPr>
        <w:t>imports</w:t>
      </w:r>
      <w:r>
        <w:rPr>
          <w:lang w:val="en-US"/>
        </w:rPr>
        <w:t xml:space="preserve"> </w:t>
      </w:r>
      <w:r w:rsidR="00DF1763">
        <w:rPr>
          <w:lang w:val="en-US"/>
        </w:rPr>
        <w:t>in</w:t>
      </w:r>
      <w:r>
        <w:rPr>
          <w:lang w:val="en-US"/>
        </w:rPr>
        <w:t>creases</w:t>
      </w:r>
      <w:r w:rsidR="00DF1763">
        <w:rPr>
          <w:lang w:val="en-US"/>
        </w:rPr>
        <w:t xml:space="preserve">, naturally, </w:t>
      </w:r>
      <w:r>
        <w:rPr>
          <w:lang w:val="en-US"/>
        </w:rPr>
        <w:t xml:space="preserve"> the stock of domestic capital.</w:t>
      </w:r>
      <w:r w:rsidR="00D72B8C">
        <w:rPr>
          <w:lang w:val="en-US"/>
        </w:rPr>
        <w:t xml:space="preserve"> </w:t>
      </w:r>
      <w:r w:rsidR="00DF1763">
        <w:rPr>
          <w:lang w:val="en-US"/>
        </w:rPr>
        <w:t xml:space="preserve"> Note also that when the stock of domestic capital increases, then the return to capital falls and the wage rate rises. Naturally, very high values of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DF1763">
        <w:rPr>
          <w:lang w:val="en-US"/>
        </w:rPr>
        <w:t xml:space="preserve"> deter capital imports altogether, and the small open economy is in a financial autarky. Note that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DF1763">
        <w:rPr>
          <w:lang w:val="en-US"/>
        </w:rPr>
        <w:t xml:space="preserve"> falls the economy moves out</w:t>
      </w:r>
      <w:r w:rsidR="00076F10">
        <w:rPr>
          <w:lang w:val="en-US"/>
        </w:rPr>
        <w:t xml:space="preserve"> of the autarky state first in the case of no welfare state; second, when the skilled-rich form the majority; and third, when the unskilled-poor form the majority.</w:t>
      </w:r>
      <w:r w:rsidR="00076F10">
        <w:rPr>
          <w:rStyle w:val="Appelnotedebasdep"/>
          <w:lang w:val="en-US"/>
        </w:rPr>
        <w:footnoteReference w:id="18"/>
      </w:r>
    </w:p>
    <w:p w14:paraId="1D211BF0" w14:textId="1186CE41" w:rsidR="000B0499" w:rsidRDefault="000B0499" w:rsidP="00D227C3">
      <w:pPr>
        <w:pStyle w:val="10"/>
        <w:rPr>
          <w:lang w:val="en-US"/>
        </w:rPr>
      </w:pPr>
    </w:p>
    <w:p w14:paraId="6AFE2620" w14:textId="44E393E4" w:rsidR="00D227C3" w:rsidRDefault="00D227C3" w:rsidP="00CF555B">
      <w:pPr>
        <w:pStyle w:val="10"/>
        <w:rPr>
          <w:lang w:val="en-US"/>
        </w:rPr>
      </w:pPr>
      <w:r>
        <w:rPr>
          <w:lang w:val="en-US"/>
        </w:rPr>
        <w:t>Interestingly, the unskilled-poor  lower  the level of capital imports more than</w:t>
      </w:r>
      <w:r w:rsidRPr="00D227C3">
        <w:rPr>
          <w:lang w:val="en-US"/>
        </w:rPr>
        <w:t xml:space="preserve"> </w:t>
      </w:r>
      <w:r>
        <w:rPr>
          <w:lang w:val="en-US"/>
        </w:rPr>
        <w:t>the skilled-rich; the both reduce capital imports  relative to the case of no-welfare-state. As expected, with source based capital taxation</w:t>
      </w:r>
      <w:r w:rsidR="007D4AD7">
        <w:rPr>
          <w:lang w:val="en-US"/>
        </w:rPr>
        <w:t>,</w:t>
      </w:r>
      <w:r>
        <w:rPr>
          <w:lang w:val="en-US"/>
        </w:rPr>
        <w:t xml:space="preserve"> which tax</w:t>
      </w:r>
      <w:r w:rsidR="007D4AD7">
        <w:rPr>
          <w:lang w:val="en-US"/>
        </w:rPr>
        <w:t>es</w:t>
      </w:r>
      <w:r>
        <w:rPr>
          <w:lang w:val="en-US"/>
        </w:rPr>
        <w:t xml:space="preserve">  capital imported from abroad, the incentive  of foreigners to invest in the small open economy are dampened by the existence of the welfare state. One may wonder why </w:t>
      </w:r>
      <w:r w:rsidR="00D72B8C">
        <w:rPr>
          <w:lang w:val="en-US"/>
        </w:rPr>
        <w:t>the domestic  stock of capital is</w:t>
      </w:r>
      <w:r w:rsidR="007D4AD7">
        <w:rPr>
          <w:lang w:val="en-US"/>
        </w:rPr>
        <w:t xml:space="preserve"> nevertheless still </w:t>
      </w:r>
      <w:r w:rsidR="00D72B8C">
        <w:rPr>
          <w:lang w:val="en-US"/>
        </w:rPr>
        <w:t xml:space="preserve"> </w:t>
      </w:r>
      <w:r w:rsidR="007D4AD7">
        <w:rPr>
          <w:lang w:val="en-US"/>
        </w:rPr>
        <w:t xml:space="preserve">larger </w:t>
      </w:r>
      <w:r>
        <w:rPr>
          <w:lang w:val="en-US"/>
        </w:rPr>
        <w:t>when th</w:t>
      </w:r>
      <w:r w:rsidR="007D4AD7">
        <w:rPr>
          <w:lang w:val="en-US"/>
        </w:rPr>
        <w:t xml:space="preserve">e </w:t>
      </w:r>
      <w:r>
        <w:rPr>
          <w:lang w:val="en-US"/>
        </w:rPr>
        <w:t>skilled-</w:t>
      </w:r>
      <w:r w:rsidR="007D4AD7">
        <w:rPr>
          <w:lang w:val="en-US"/>
        </w:rPr>
        <w:t xml:space="preserve">rich </w:t>
      </w:r>
      <w:r w:rsidR="00D72B8C">
        <w:rPr>
          <w:lang w:val="en-US"/>
        </w:rPr>
        <w:t xml:space="preserve"> </w:t>
      </w:r>
      <w:r>
        <w:rPr>
          <w:lang w:val="en-US"/>
        </w:rPr>
        <w:t xml:space="preserve"> form the majority,</w:t>
      </w:r>
      <w:r w:rsidR="007D4AD7">
        <w:rPr>
          <w:lang w:val="en-US"/>
        </w:rPr>
        <w:t xml:space="preserve"> relative the no welfare state case, </w:t>
      </w:r>
      <w:r>
        <w:rPr>
          <w:lang w:val="en-US"/>
        </w:rPr>
        <w:t xml:space="preserve"> </w:t>
      </w:r>
      <w:r w:rsidR="00D72B8C">
        <w:rPr>
          <w:lang w:val="en-US"/>
        </w:rPr>
        <w:t>even</w:t>
      </w:r>
      <w:r w:rsidR="007D4AD7">
        <w:rPr>
          <w:lang w:val="en-US"/>
        </w:rPr>
        <w:t xml:space="preserve"> though they </w:t>
      </w:r>
      <w:r w:rsidR="00D72B8C">
        <w:rPr>
          <w:lang w:val="en-US"/>
        </w:rPr>
        <w:t>discourage</w:t>
      </w:r>
      <w:r w:rsidR="007D4AD7">
        <w:rPr>
          <w:lang w:val="en-US"/>
        </w:rPr>
        <w:t xml:space="preserve"> </w:t>
      </w:r>
      <w:r w:rsidR="00D72B8C">
        <w:rPr>
          <w:lang w:val="en-US"/>
        </w:rPr>
        <w:t>capital imports (see Figure 8(b)</w:t>
      </w:r>
      <w:r w:rsidR="007D4AD7">
        <w:rPr>
          <w:lang w:val="en-US"/>
        </w:rPr>
        <w:t>)</w:t>
      </w:r>
      <w:r w:rsidR="00D72B8C">
        <w:rPr>
          <w:lang w:val="en-US"/>
        </w:rPr>
        <w:t xml:space="preserve">. </w:t>
      </w:r>
      <w:r>
        <w:rPr>
          <w:lang w:val="en-US"/>
        </w:rPr>
        <w:t xml:space="preserve">The reason is that </w:t>
      </w:r>
      <w:r w:rsidR="00D72B8C">
        <w:rPr>
          <w:lang w:val="en-US"/>
        </w:rPr>
        <w:t xml:space="preserve">the </w:t>
      </w:r>
      <w:r>
        <w:rPr>
          <w:lang w:val="en-US"/>
        </w:rPr>
        <w:t>welfare state</w:t>
      </w:r>
      <w:r w:rsidR="00D72B8C">
        <w:rPr>
          <w:lang w:val="en-US"/>
        </w:rPr>
        <w:t xml:space="preserve"> in this case </w:t>
      </w:r>
      <w:r>
        <w:rPr>
          <w:lang w:val="en-US"/>
        </w:rPr>
        <w:t xml:space="preserve"> boosts domestic saving </w:t>
      </w:r>
      <w:r w:rsidR="00D72B8C">
        <w:rPr>
          <w:lang w:val="en-US"/>
        </w:rPr>
        <w:t xml:space="preserve">sufficiently </w:t>
      </w:r>
      <w:r w:rsidR="007D4AD7">
        <w:rPr>
          <w:lang w:val="en-US"/>
        </w:rPr>
        <w:t xml:space="preserve">(see Figure 8(c)) </w:t>
      </w:r>
      <w:r w:rsidR="00D72B8C">
        <w:rPr>
          <w:lang w:val="en-US"/>
        </w:rPr>
        <w:t xml:space="preserve">to compensate for the </w:t>
      </w:r>
      <w:r w:rsidR="007D4AD7">
        <w:rPr>
          <w:lang w:val="en-US"/>
        </w:rPr>
        <w:t xml:space="preserve">squeezed </w:t>
      </w:r>
      <w:r w:rsidR="00D72B8C">
        <w:rPr>
          <w:lang w:val="en-US"/>
        </w:rPr>
        <w:t xml:space="preserve"> capital </w:t>
      </w:r>
      <w:r w:rsidR="007D4AD7">
        <w:rPr>
          <w:lang w:val="en-US"/>
        </w:rPr>
        <w:t>inflow</w:t>
      </w:r>
      <w:r w:rsidR="00D72B8C">
        <w:rPr>
          <w:lang w:val="en-US"/>
        </w:rPr>
        <w:t xml:space="preserve">. </w:t>
      </w:r>
      <w:r>
        <w:rPr>
          <w:lang w:val="en-US"/>
        </w:rPr>
        <w:t xml:space="preserve"> </w:t>
      </w:r>
    </w:p>
    <w:p w14:paraId="24E593C4" w14:textId="339128FA" w:rsidR="00CF555B" w:rsidRDefault="00D72B8C" w:rsidP="00A46697">
      <w:pPr>
        <w:pStyle w:val="10"/>
        <w:rPr>
          <w:noProof/>
        </w:rPr>
      </w:pPr>
      <w:r>
        <w:rPr>
          <w:lang w:val="en-US"/>
        </w:rPr>
        <w:t>Figure 8</w:t>
      </w:r>
      <w:r w:rsidR="00A46697">
        <w:rPr>
          <w:lang w:val="en-US"/>
        </w:rPr>
        <w:t xml:space="preserve">: </w:t>
      </w:r>
      <w:r>
        <w:rPr>
          <w:lang w:val="en-US"/>
        </w:rPr>
        <w:t xml:space="preserve"> Capital imports and </w:t>
      </w:r>
      <w:r w:rsidR="00A46697">
        <w:rPr>
          <w:lang w:val="en-US"/>
        </w:rPr>
        <w:t xml:space="preserve"> the stock of </w:t>
      </w:r>
      <w:r>
        <w:rPr>
          <w:lang w:val="en-US"/>
        </w:rPr>
        <w:t>domestic capita</w:t>
      </w:r>
      <w:r w:rsidR="00CF555B">
        <w:rPr>
          <w:lang w:val="en-US"/>
        </w:rPr>
        <w:t>l</w:t>
      </w:r>
      <w:r w:rsidR="00CF555B">
        <w:rPr>
          <w:noProof/>
        </w:rPr>
        <w:t xml:space="preserve"> </w:t>
      </w:r>
    </w:p>
    <w:p w14:paraId="62DDD3DD" w14:textId="066A1CDD" w:rsidR="00A46697" w:rsidRDefault="00A46697" w:rsidP="00A46697">
      <w:pPr>
        <w:pStyle w:val="10"/>
        <w:numPr>
          <w:ilvl w:val="0"/>
          <w:numId w:val="6"/>
        </w:numPr>
        <w:rPr>
          <w:noProof/>
        </w:rPr>
      </w:pPr>
      <w:r>
        <w:rPr>
          <w:noProof/>
        </w:rPr>
        <w:t>The volume of capital imports</w:t>
      </w:r>
    </w:p>
    <w:p w14:paraId="3F8FB045" w14:textId="0BB154F0" w:rsidR="00A46697" w:rsidRDefault="00A46697" w:rsidP="00A46697">
      <w:pPr>
        <w:pStyle w:val="10"/>
        <w:numPr>
          <w:ilvl w:val="0"/>
          <w:numId w:val="6"/>
        </w:numPr>
        <w:rPr>
          <w:noProof/>
        </w:rPr>
      </w:pPr>
      <w:r>
        <w:rPr>
          <w:noProof/>
        </w:rPr>
        <w:t>The stock of domestic capital</w:t>
      </w:r>
    </w:p>
    <w:p w14:paraId="2FE1FCF0" w14:textId="3DE4AED7" w:rsidR="00A46697" w:rsidRDefault="00A46697" w:rsidP="00A46697">
      <w:pPr>
        <w:pStyle w:val="10"/>
        <w:numPr>
          <w:ilvl w:val="0"/>
          <w:numId w:val="6"/>
        </w:numPr>
        <w:rPr>
          <w:noProof/>
        </w:rPr>
      </w:pPr>
      <w:r>
        <w:rPr>
          <w:noProof/>
        </w:rPr>
        <w:t>The volume of savings</w:t>
      </w:r>
    </w:p>
    <w:p w14:paraId="7D8CD454" w14:textId="1811CCE3" w:rsidR="00D72B8C" w:rsidRPr="00075206" w:rsidRDefault="009D2A08" w:rsidP="00A85B91">
      <w:pPr>
        <w:pStyle w:val="10"/>
      </w:pPr>
      <w:r>
        <w:rPr>
          <w:noProof/>
          <w:lang w:val="fr-FR" w:eastAsia="fr-FR"/>
        </w:rPr>
        <w:drawing>
          <wp:inline distT="0" distB="0" distL="0" distR="0" wp14:anchorId="7DEDD9A2" wp14:editId="28C32366">
            <wp:extent cx="5486400" cy="822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8229600"/>
                    </a:xfrm>
                    <a:prstGeom prst="rect">
                      <a:avLst/>
                    </a:prstGeom>
                  </pic:spPr>
                </pic:pic>
              </a:graphicData>
            </a:graphic>
          </wp:inline>
        </w:drawing>
      </w:r>
    </w:p>
    <w:p w14:paraId="00F87236" w14:textId="316A8B82" w:rsidR="00D72B8C" w:rsidRDefault="00E42613" w:rsidP="00D72B8C">
      <w:pPr>
        <w:pStyle w:val="10"/>
        <w:rPr>
          <w:lang w:val="en-US"/>
        </w:rPr>
      </w:pPr>
      <w:r>
        <w:rPr>
          <w:lang w:val="en-US"/>
        </w:rPr>
        <w:t>Note: For parameter values, see Appendix.</w:t>
      </w:r>
    </w:p>
    <w:p w14:paraId="171A1B39" w14:textId="6C3D4C4F" w:rsidR="00772272" w:rsidRDefault="00D72B8C" w:rsidP="00F305B0">
      <w:pPr>
        <w:pStyle w:val="10"/>
        <w:rPr>
          <w:lang w:val="en-US"/>
        </w:rPr>
      </w:pPr>
      <w:r>
        <w:rPr>
          <w:lang w:val="en-US"/>
        </w:rPr>
        <w:t>Figure 9 presents</w:t>
      </w:r>
      <w:r w:rsidR="00CF555B">
        <w:rPr>
          <w:lang w:val="en-US"/>
        </w:rPr>
        <w:t xml:space="preserve"> the rates of </w:t>
      </w:r>
      <w:r>
        <w:rPr>
          <w:lang w:val="en-US"/>
        </w:rPr>
        <w:t xml:space="preserve"> taxes and </w:t>
      </w:r>
      <w:r w:rsidR="00CF555B">
        <w:rPr>
          <w:lang w:val="en-US"/>
        </w:rPr>
        <w:t xml:space="preserve">the volume of </w:t>
      </w:r>
      <w:r>
        <w:rPr>
          <w:lang w:val="en-US"/>
        </w:rPr>
        <w:t>social benefits when the small open economy imports capital from the rest of the world.</w:t>
      </w:r>
      <w:r w:rsidR="00772272">
        <w:rPr>
          <w:lang w:val="en-US"/>
        </w:rPr>
        <w:t xml:space="preserve"> </w:t>
      </w:r>
      <w:r w:rsidR="0092390D">
        <w:rPr>
          <w:lang w:val="en-US"/>
        </w:rPr>
        <w:t xml:space="preserve"> </w:t>
      </w:r>
      <w:r w:rsidR="00CF555B">
        <w:rPr>
          <w:lang w:val="en-US"/>
        </w:rPr>
        <w:t xml:space="preserve">When the skilled-rich form the majority, they choose to impose no taxes on capital. They lower moderately the tax rate on labor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CF555B">
        <w:rPr>
          <w:lang w:val="en-US"/>
        </w:rPr>
        <w:t xml:space="preserve">falls. Interestingly, when the unskilled-poor form the majority, they increase the tax on labor (though still this tax is at a lower rate than when the skilled-rich form the majority), and lower sharply the tax on capital once they depart from financial autarky and start </w:t>
      </w:r>
      <w:r w:rsidR="00DB1762">
        <w:rPr>
          <w:lang w:val="en-US"/>
        </w:rPr>
        <w:t>to import capital. When the skilled-rich form the majority the social benefit follow</w:t>
      </w:r>
      <w:r w:rsidR="00F305B0">
        <w:rPr>
          <w:lang w:val="en-US"/>
        </w:rPr>
        <w:t>s</w:t>
      </w:r>
      <w:r w:rsidR="00DB1762">
        <w:rPr>
          <w:lang w:val="en-US"/>
        </w:rPr>
        <w:t xml:space="preserve"> a similar pattern as the labor tax rate does (recall that they levy no tax on capital): as </w:t>
      </w:r>
      <m:oMath>
        <m:sSub>
          <m:sSubPr>
            <m:ctrlPr>
              <w:rPr>
                <w:rFonts w:ascii="Cambria Math" w:hAnsi="Cambria Math"/>
                <w:i/>
                <w:lang w:val="en-US"/>
              </w:rPr>
            </m:ctrlPr>
          </m:sSubPr>
          <m:e>
            <m:r>
              <w:rPr>
                <w:rFonts w:ascii="Cambria Math" w:hAnsi="Cambria Math"/>
                <w:lang w:val="en-US"/>
              </w:rPr>
              <m:t>δ</m:t>
            </m:r>
          </m:e>
          <m:sub>
            <m:r>
              <w:rPr>
                <w:rFonts w:ascii="Cambria Math" w:hAnsi="Cambria Math"/>
                <w:lang w:val="en-US"/>
              </w:rPr>
              <m:t>k</m:t>
            </m:r>
          </m:sub>
        </m:sSub>
      </m:oMath>
      <w:r w:rsidR="00DB1762">
        <w:rPr>
          <w:lang w:val="en-US"/>
        </w:rPr>
        <w:t xml:space="preserve"> falls, they lower moderately the volume of </w:t>
      </w:r>
      <w:r w:rsidR="00F305B0">
        <w:rPr>
          <w:lang w:val="en-US"/>
        </w:rPr>
        <w:t xml:space="preserve">the </w:t>
      </w:r>
      <w:r w:rsidR="00DB1762">
        <w:rPr>
          <w:lang w:val="en-US"/>
        </w:rPr>
        <w:t>social benefits.</w:t>
      </w:r>
    </w:p>
    <w:p w14:paraId="221413BB" w14:textId="32CB0161" w:rsidR="00D227C3" w:rsidRDefault="0092390D" w:rsidP="00D227C3">
      <w:pPr>
        <w:pStyle w:val="10"/>
        <w:rPr>
          <w:lang w:val="en-US"/>
        </w:rPr>
      </w:pPr>
      <w:r>
        <w:rPr>
          <w:lang w:val="en-US"/>
        </w:rPr>
        <w:t>Figure 9</w:t>
      </w:r>
      <w:r w:rsidR="00A46697">
        <w:rPr>
          <w:lang w:val="en-US"/>
        </w:rPr>
        <w:t xml:space="preserve"> (The capital import case)</w:t>
      </w:r>
      <w:r>
        <w:rPr>
          <w:lang w:val="en-US"/>
        </w:rPr>
        <w:t>: taxes and social benefits</w:t>
      </w:r>
    </w:p>
    <w:p w14:paraId="0315044A" w14:textId="14A5AC2D" w:rsidR="00A46697" w:rsidRDefault="00A46697" w:rsidP="00A46697">
      <w:pPr>
        <w:pStyle w:val="10"/>
        <w:numPr>
          <w:ilvl w:val="0"/>
          <w:numId w:val="7"/>
        </w:numPr>
        <w:rPr>
          <w:lang w:val="en-US"/>
        </w:rPr>
      </w:pPr>
      <w:r>
        <w:rPr>
          <w:lang w:val="en-US"/>
        </w:rPr>
        <w:t>Tax rate on capital</w:t>
      </w:r>
    </w:p>
    <w:p w14:paraId="3100C792" w14:textId="23A77DA5" w:rsidR="00A46697" w:rsidRDefault="00A46697" w:rsidP="00A46697">
      <w:pPr>
        <w:pStyle w:val="10"/>
        <w:numPr>
          <w:ilvl w:val="0"/>
          <w:numId w:val="7"/>
        </w:numPr>
        <w:rPr>
          <w:lang w:val="en-US"/>
        </w:rPr>
      </w:pPr>
      <w:r>
        <w:rPr>
          <w:lang w:val="en-US"/>
        </w:rPr>
        <w:t xml:space="preserve"> Tax rate on labor</w:t>
      </w:r>
    </w:p>
    <w:p w14:paraId="728D4BEC" w14:textId="77777777" w:rsidR="00A46697" w:rsidRDefault="00A46697" w:rsidP="00A46697">
      <w:pPr>
        <w:pStyle w:val="10"/>
        <w:numPr>
          <w:ilvl w:val="0"/>
          <w:numId w:val="7"/>
        </w:numPr>
        <w:rPr>
          <w:lang w:val="en-US"/>
        </w:rPr>
      </w:pPr>
      <w:r>
        <w:rPr>
          <w:lang w:val="en-US"/>
        </w:rPr>
        <w:t xml:space="preserve">The volume of social benefits </w:t>
      </w:r>
    </w:p>
    <w:p w14:paraId="05F50402" w14:textId="77777777" w:rsidR="00A46697" w:rsidRDefault="00A46697" w:rsidP="00A46697">
      <w:pPr>
        <w:pStyle w:val="10"/>
        <w:ind w:left="1200"/>
        <w:rPr>
          <w:lang w:val="en-US"/>
        </w:rPr>
      </w:pPr>
      <w:r>
        <w:rPr>
          <w:lang w:val="en-US"/>
        </w:rPr>
        <w:t>Note: for parameter values, see Appendix.</w:t>
      </w:r>
    </w:p>
    <w:p w14:paraId="4718860C" w14:textId="0900DF7F" w:rsidR="0092390D" w:rsidRDefault="0092390D" w:rsidP="00D227C3">
      <w:pPr>
        <w:pStyle w:val="10"/>
        <w:rPr>
          <w:lang w:val="en-US"/>
        </w:rPr>
      </w:pPr>
    </w:p>
    <w:p w14:paraId="13263A18" w14:textId="77777777" w:rsidR="0092390D" w:rsidRDefault="0092390D" w:rsidP="00D227C3">
      <w:pPr>
        <w:pStyle w:val="10"/>
        <w:rPr>
          <w:lang w:val="en-US"/>
        </w:rPr>
      </w:pPr>
    </w:p>
    <w:p w14:paraId="26EFC061" w14:textId="77777777" w:rsidR="004505EA" w:rsidRPr="009960CD" w:rsidRDefault="004505EA" w:rsidP="004505EA">
      <w:pPr>
        <w:pStyle w:val="10"/>
        <w:rPr>
          <w:lang w:val="en-US"/>
        </w:rPr>
      </w:pPr>
    </w:p>
    <w:p w14:paraId="44B70247" w14:textId="6F96ECB5" w:rsidR="00F06189" w:rsidRPr="009960CD" w:rsidRDefault="00075206" w:rsidP="00F06189">
      <w:pPr>
        <w:pStyle w:val="10"/>
        <w:rPr>
          <w:lang w:val="en-US"/>
        </w:rPr>
      </w:pPr>
      <w:r>
        <w:rPr>
          <w:noProof/>
          <w:lang w:val="fr-FR" w:eastAsia="fr-FR"/>
        </w:rPr>
        <w:drawing>
          <wp:inline distT="0" distB="0" distL="0" distR="0" wp14:anchorId="0C03CA94" wp14:editId="087F35C2">
            <wp:extent cx="5486400" cy="8229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8229600"/>
                    </a:xfrm>
                    <a:prstGeom prst="rect">
                      <a:avLst/>
                    </a:prstGeom>
                  </pic:spPr>
                </pic:pic>
              </a:graphicData>
            </a:graphic>
          </wp:inline>
        </w:drawing>
      </w:r>
    </w:p>
    <w:p w14:paraId="3BDF3B4E" w14:textId="77777777" w:rsidR="00F06189" w:rsidRPr="009960CD" w:rsidRDefault="00F06189" w:rsidP="00F06189">
      <w:pPr>
        <w:pStyle w:val="10"/>
        <w:rPr>
          <w:lang w:val="en-US"/>
        </w:rPr>
      </w:pPr>
    </w:p>
    <w:p w14:paraId="63158577" w14:textId="66541F74" w:rsidR="00841BB6" w:rsidRDefault="00841BB6" w:rsidP="00F06189">
      <w:pPr>
        <w:pStyle w:val="10"/>
        <w:rPr>
          <w:b/>
          <w:bCs/>
          <w:lang w:val="en-US"/>
        </w:rPr>
      </w:pPr>
      <w:r>
        <w:rPr>
          <w:b/>
          <w:bCs/>
          <w:lang w:val="en-US"/>
        </w:rPr>
        <w:t xml:space="preserve">7. </w:t>
      </w:r>
      <w:r w:rsidR="00105583">
        <w:rPr>
          <w:b/>
          <w:bCs/>
          <w:lang w:val="en-US"/>
        </w:rPr>
        <w:t xml:space="preserve"> </w:t>
      </w:r>
      <w:r>
        <w:rPr>
          <w:b/>
          <w:bCs/>
          <w:lang w:val="en-US"/>
        </w:rPr>
        <w:t>Conclusion</w:t>
      </w:r>
    </w:p>
    <w:p w14:paraId="5BDFA1EF" w14:textId="2D5436E0" w:rsidR="000504C7" w:rsidRDefault="008A6A52" w:rsidP="000504C7">
      <w:pPr>
        <w:pStyle w:val="10"/>
        <w:rPr>
          <w:lang w:val="en-US"/>
        </w:rPr>
      </w:pPr>
      <w:r>
        <w:rPr>
          <w:lang w:val="en-US"/>
        </w:rPr>
        <w:t>The paper highlights</w:t>
      </w:r>
      <w:r>
        <w:t xml:space="preserve"> key trade-related and finance-related mechanisms, linking </w:t>
      </w:r>
      <w:r w:rsidR="00E42613">
        <w:t xml:space="preserve">forces of </w:t>
      </w:r>
      <w:r>
        <w:rPr>
          <w:lang w:val="en-US"/>
        </w:rPr>
        <w:t xml:space="preserve">globalization </w:t>
      </w:r>
      <w:r>
        <w:t>to the</w:t>
      </w:r>
      <w:r>
        <w:rPr>
          <w:lang w:val="en-US"/>
        </w:rPr>
        <w:t xml:space="preserve"> welfare</w:t>
      </w:r>
      <w:r w:rsidR="00105583">
        <w:rPr>
          <w:lang w:val="en-US"/>
        </w:rPr>
        <w:t>-</w:t>
      </w:r>
      <w:r>
        <w:rPr>
          <w:lang w:val="en-US"/>
        </w:rPr>
        <w:t>state</w:t>
      </w:r>
      <w:r w:rsidR="00E42613">
        <w:rPr>
          <w:lang w:val="en-US"/>
        </w:rPr>
        <w:t xml:space="preserve"> fiscal structure. The Welfare state, which </w:t>
      </w:r>
      <w:r>
        <w:rPr>
          <w:lang w:val="en-US"/>
        </w:rPr>
        <w:t xml:space="preserve">  provides social benefit that are financed by  levying  labor and capital taxes,</w:t>
      </w:r>
      <w:r w:rsidR="00E42613">
        <w:rPr>
          <w:lang w:val="en-US"/>
        </w:rPr>
        <w:t xml:space="preserve"> is governed by </w:t>
      </w:r>
      <w:r>
        <w:rPr>
          <w:lang w:val="en-US"/>
        </w:rPr>
        <w:t xml:space="preserve"> the majority of the voter population</w:t>
      </w:r>
      <w:r w:rsidR="00105583">
        <w:rPr>
          <w:lang w:val="en-US"/>
        </w:rPr>
        <w:t>; thus reflecting their  economic interests</w:t>
      </w:r>
      <w:r>
        <w:t xml:space="preserve"> At the  root cause of the interactions between  the welfare state and globalization lies </w:t>
      </w:r>
      <w:r w:rsidR="009F04C6">
        <w:t xml:space="preserve">the world </w:t>
      </w:r>
      <w:r w:rsidR="00E42613">
        <w:t>market</w:t>
      </w:r>
      <w:r w:rsidR="00A13898">
        <w:t>s,</w:t>
      </w:r>
      <w:r w:rsidR="00E42613">
        <w:t xml:space="preserve"> </w:t>
      </w:r>
      <w:r w:rsidR="00105583">
        <w:t xml:space="preserve">which inflict </w:t>
      </w:r>
      <w:r w:rsidR="00E42613">
        <w:t xml:space="preserve"> </w:t>
      </w:r>
      <w:r w:rsidR="00A13898">
        <w:t>intense</w:t>
      </w:r>
      <w:r w:rsidR="009F04C6" w:rsidRPr="009F04C6">
        <w:t xml:space="preserve"> </w:t>
      </w:r>
      <w:r w:rsidR="009F04C6">
        <w:t xml:space="preserve">pressures on  </w:t>
      </w:r>
      <w:r w:rsidR="00E42613">
        <w:t xml:space="preserve">the </w:t>
      </w:r>
      <w:r>
        <w:t>welfare state</w:t>
      </w:r>
      <w:r w:rsidR="009F04C6">
        <w:t xml:space="preserve">. </w:t>
      </w:r>
      <w:r w:rsidR="00105583">
        <w:t xml:space="preserve">Globalization  </w:t>
      </w:r>
      <w:r w:rsidR="009F04C6">
        <w:t xml:space="preserve"> pressures </w:t>
      </w:r>
      <w:r w:rsidR="00A13898">
        <w:t>force significa</w:t>
      </w:r>
      <w:r w:rsidR="00105583">
        <w:t>n</w:t>
      </w:r>
      <w:r w:rsidR="00A13898">
        <w:t xml:space="preserve">t </w:t>
      </w:r>
      <w:r w:rsidR="009F04C6">
        <w:t xml:space="preserve"> </w:t>
      </w:r>
      <w:r>
        <w:t xml:space="preserve"> </w:t>
      </w:r>
      <w:r w:rsidR="009F04C6">
        <w:t>fiscal cha</w:t>
      </w:r>
      <w:r w:rsidR="00A13898">
        <w:t>n</w:t>
      </w:r>
      <w:r w:rsidR="009F04C6">
        <w:t>ges for the economy to be able to compete</w:t>
      </w:r>
      <w:r w:rsidR="00105583">
        <w:t xml:space="preserve"> in trade and capital markets</w:t>
      </w:r>
      <w:r w:rsidR="009F04C6">
        <w:t xml:space="preserve"> internationally</w:t>
      </w:r>
      <w:r w:rsidR="00A13898">
        <w:t xml:space="preserve">. Furthermore, they radically </w:t>
      </w:r>
      <w:r w:rsidR="00105583">
        <w:t xml:space="preserve">affect </w:t>
      </w:r>
      <w:r w:rsidR="00B64786">
        <w:t xml:space="preserve">incomes from </w:t>
      </w:r>
      <w:r w:rsidR="00A13898">
        <w:t xml:space="preserve">  </w:t>
      </w:r>
      <w:r>
        <w:t xml:space="preserve"> capital</w:t>
      </w:r>
      <w:r w:rsidR="00B64786">
        <w:t xml:space="preserve"> investments</w:t>
      </w:r>
      <w:r>
        <w:t xml:space="preserve"> and </w:t>
      </w:r>
      <w:r w:rsidR="00B64786">
        <w:t xml:space="preserve">and from </w:t>
      </w:r>
      <w:r>
        <w:t xml:space="preserve">labor </w:t>
      </w:r>
      <w:r w:rsidR="00B64786">
        <w:t>sevices</w:t>
      </w:r>
      <w:r w:rsidR="009F04C6">
        <w:t xml:space="preserve"> of various classes</w:t>
      </w:r>
      <w:r w:rsidR="001003C6">
        <w:t>.</w:t>
      </w:r>
      <w:r w:rsidR="000C0A55" w:rsidRPr="000C0A55">
        <w:t xml:space="preserve"> </w:t>
      </w:r>
      <w:r w:rsidR="000504C7">
        <w:rPr>
          <w:lang w:val="en-US"/>
        </w:rPr>
        <w:t xml:space="preserve">Income-based olitical cleavages are shown to be grounded </w:t>
      </w:r>
      <w:r w:rsidR="000504C7" w:rsidRPr="00933C90">
        <w:rPr>
          <w:lang w:val="en-US"/>
        </w:rPr>
        <w:t>on</w:t>
      </w:r>
      <w:r w:rsidR="000504C7">
        <w:rPr>
          <w:lang w:val="en-US"/>
        </w:rPr>
        <w:t xml:space="preserve"> trade-related and macro-related </w:t>
      </w:r>
      <w:r w:rsidR="000504C7" w:rsidRPr="00933C90">
        <w:rPr>
          <w:lang w:val="en-US"/>
        </w:rPr>
        <w:t>fundamentals</w:t>
      </w:r>
      <w:r w:rsidR="000504C7">
        <w:rPr>
          <w:lang w:val="en-US"/>
        </w:rPr>
        <w:t xml:space="preserve">, familiar from a standard open-economy model. They are: </w:t>
      </w:r>
      <w:r w:rsidR="000504C7" w:rsidRPr="00933C90">
        <w:rPr>
          <w:lang w:val="en-US"/>
        </w:rPr>
        <w:t xml:space="preserve"> (</w:t>
      </w:r>
      <w:r w:rsidR="000504C7">
        <w:rPr>
          <w:lang w:val="en-US"/>
        </w:rPr>
        <w:t>i</w:t>
      </w:r>
      <w:r w:rsidR="000504C7" w:rsidRPr="00933C90">
        <w:rPr>
          <w:lang w:val="en-US"/>
        </w:rPr>
        <w:t xml:space="preserve">) </w:t>
      </w:r>
      <w:r w:rsidR="000504C7">
        <w:rPr>
          <w:lang w:val="en-US"/>
        </w:rPr>
        <w:t xml:space="preserve">The degree of </w:t>
      </w:r>
      <w:r w:rsidR="000504C7" w:rsidRPr="00933C90">
        <w:rPr>
          <w:lang w:val="en-US"/>
        </w:rPr>
        <w:t>trade border frictions, (ii)</w:t>
      </w:r>
      <w:r w:rsidR="000504C7">
        <w:rPr>
          <w:lang w:val="en-US"/>
        </w:rPr>
        <w:t xml:space="preserve"> The degree of </w:t>
      </w:r>
      <w:r w:rsidR="000504C7" w:rsidRPr="00933C90">
        <w:rPr>
          <w:lang w:val="en-US"/>
        </w:rPr>
        <w:t>international finance frictions, (i</w:t>
      </w:r>
      <w:r w:rsidR="000504C7">
        <w:rPr>
          <w:lang w:val="en-US"/>
        </w:rPr>
        <w:t>ii</w:t>
      </w:r>
      <w:r w:rsidR="000504C7" w:rsidRPr="00933C90">
        <w:rPr>
          <w:lang w:val="en-US"/>
        </w:rPr>
        <w:t>)</w:t>
      </w:r>
      <w:r w:rsidR="000504C7">
        <w:rPr>
          <w:lang w:val="en-US"/>
        </w:rPr>
        <w:t xml:space="preserve"> The r</w:t>
      </w:r>
      <w:r w:rsidR="000504C7" w:rsidRPr="00933C90">
        <w:rPr>
          <w:lang w:val="en-US"/>
        </w:rPr>
        <w:t>elative factor abundance</w:t>
      </w:r>
      <w:r w:rsidR="000504C7">
        <w:rPr>
          <w:lang w:val="en-US"/>
        </w:rPr>
        <w:t xml:space="preserve"> that determines the capital </w:t>
      </w:r>
      <w:r w:rsidR="000504C7" w:rsidRPr="00933C90">
        <w:rPr>
          <w:lang w:val="en-US"/>
        </w:rPr>
        <w:t>intensity of the</w:t>
      </w:r>
      <w:r w:rsidR="000504C7">
        <w:rPr>
          <w:lang w:val="en-US"/>
        </w:rPr>
        <w:t xml:space="preserve"> country’s</w:t>
      </w:r>
      <w:r w:rsidR="000504C7" w:rsidRPr="00933C90">
        <w:rPr>
          <w:lang w:val="en-US"/>
        </w:rPr>
        <w:t xml:space="preserve"> export</w:t>
      </w:r>
      <w:r w:rsidR="000504C7">
        <w:rPr>
          <w:lang w:val="en-US"/>
        </w:rPr>
        <w:t>s</w:t>
      </w:r>
      <w:r w:rsidR="000504C7" w:rsidRPr="00933C90">
        <w:rPr>
          <w:lang w:val="en-US"/>
        </w:rPr>
        <w:t>;</w:t>
      </w:r>
      <w:r w:rsidR="000504C7">
        <w:rPr>
          <w:lang w:val="en-US"/>
        </w:rPr>
        <w:t xml:space="preserve"> and, (iv) The domestic </w:t>
      </w:r>
      <w:r w:rsidR="000504C7" w:rsidRPr="00933C90">
        <w:rPr>
          <w:lang w:val="en-US"/>
        </w:rPr>
        <w:t>saving</w:t>
      </w:r>
      <w:r w:rsidR="000504C7">
        <w:rPr>
          <w:lang w:val="en-US"/>
        </w:rPr>
        <w:t xml:space="preserve">s </w:t>
      </w:r>
      <w:r w:rsidR="000504C7" w:rsidRPr="00933C90">
        <w:rPr>
          <w:lang w:val="en-US"/>
        </w:rPr>
        <w:t>and</w:t>
      </w:r>
      <w:r w:rsidR="000504C7">
        <w:rPr>
          <w:lang w:val="en-US"/>
        </w:rPr>
        <w:t xml:space="preserve"> </w:t>
      </w:r>
      <w:r w:rsidR="000504C7" w:rsidRPr="00933C90">
        <w:rPr>
          <w:lang w:val="en-US"/>
        </w:rPr>
        <w:t>productivity of domestic investment</w:t>
      </w:r>
      <w:r w:rsidR="000504C7">
        <w:rPr>
          <w:lang w:val="en-US"/>
        </w:rPr>
        <w:t xml:space="preserve">, which determines whether the country is a financial capital exporter or importer. </w:t>
      </w:r>
    </w:p>
    <w:p w14:paraId="41DD0609" w14:textId="573D636E" w:rsidR="000C0A55" w:rsidRDefault="000C0A55" w:rsidP="000C0A55">
      <w:pPr>
        <w:pStyle w:val="10"/>
      </w:pPr>
      <w:r>
        <w:t xml:space="preserve">We find that </w:t>
      </w:r>
      <w:r w:rsidRPr="009960CD">
        <w:rPr>
          <w:lang w:val="en-US"/>
        </w:rPr>
        <w:t xml:space="preserve">when the </w:t>
      </w:r>
      <w:r>
        <w:t xml:space="preserve">country is </w:t>
      </w:r>
      <w:r w:rsidRPr="009960CD">
        <w:rPr>
          <w:lang w:val="en-US"/>
        </w:rPr>
        <w:t xml:space="preserve">capital-abundant relative to the rest of the world, </w:t>
      </w:r>
      <w:r>
        <w:rPr>
          <w:lang w:val="en-US"/>
        </w:rPr>
        <w:t>or when it exhibits strong saving propensity,</w:t>
      </w:r>
      <w:r>
        <w:t xml:space="preserve"> a welfare state  governed by the  </w:t>
      </w:r>
      <w:r w:rsidRPr="009960CD">
        <w:rPr>
          <w:lang w:val="en-US"/>
        </w:rPr>
        <w:t>skilled-rich</w:t>
      </w:r>
      <w:r>
        <w:t xml:space="preserve"> magnifies  the intensity of  globalization.  In contrast, </w:t>
      </w:r>
      <w:r w:rsidRPr="009960CD">
        <w:rPr>
          <w:lang w:val="en-US"/>
        </w:rPr>
        <w:t xml:space="preserve">when the </w:t>
      </w:r>
      <w:r>
        <w:t xml:space="preserve">country is </w:t>
      </w:r>
      <w:r>
        <w:rPr>
          <w:lang w:val="en-US"/>
        </w:rPr>
        <w:t xml:space="preserve">labor </w:t>
      </w:r>
      <w:r w:rsidRPr="009960CD">
        <w:rPr>
          <w:lang w:val="en-US"/>
        </w:rPr>
        <w:t xml:space="preserve">abundant relative to the rest of the world, </w:t>
      </w:r>
      <w:r>
        <w:rPr>
          <w:lang w:val="en-US"/>
        </w:rPr>
        <w:t xml:space="preserve">or it exhibits slow saving propensity, a welfare state governed by </w:t>
      </w:r>
      <w:r>
        <w:t xml:space="preserve"> the un</w:t>
      </w:r>
      <w:r w:rsidRPr="009960CD">
        <w:rPr>
          <w:lang w:val="en-US"/>
        </w:rPr>
        <w:t>skilled-</w:t>
      </w:r>
      <w:r>
        <w:rPr>
          <w:lang w:val="en-US"/>
        </w:rPr>
        <w:t>poor</w:t>
      </w:r>
      <w:r>
        <w:t xml:space="preserve"> would tends to magnify  the intensity of  globalization.  </w:t>
      </w:r>
      <w:r>
        <w:rPr>
          <w:lang w:val="en-US"/>
        </w:rPr>
        <w:t>The welfare state boost the utility of losers from globalization, regardless whether the skilled-rich or the unskilled poor govern its policies , or the factor supply and the saving propensity are  the economy’s fundamentals.</w:t>
      </w:r>
    </w:p>
    <w:p w14:paraId="4CBE69F2" w14:textId="58F71034" w:rsidR="00B218B1" w:rsidRDefault="000C0A55" w:rsidP="00F91AB9">
      <w:pPr>
        <w:pStyle w:val="10"/>
      </w:pPr>
      <w:r>
        <w:rPr>
          <w:lang w:val="en-US"/>
        </w:rPr>
        <w:t xml:space="preserve">We demonstrate that </w:t>
      </w:r>
      <w:r w:rsidR="00B218B1" w:rsidRPr="00933C90">
        <w:rPr>
          <w:lang w:val="en-US"/>
        </w:rPr>
        <w:t xml:space="preserve">the welfare state spreads out the gains from globalization </w:t>
      </w:r>
      <w:r w:rsidR="00B218B1">
        <w:rPr>
          <w:lang w:val="en-US"/>
        </w:rPr>
        <w:t xml:space="preserve">from </w:t>
      </w:r>
      <w:r w:rsidR="00F91AB9">
        <w:rPr>
          <w:lang w:val="en-US"/>
        </w:rPr>
        <w:t xml:space="preserve">low skilled-poor </w:t>
      </w:r>
      <w:r w:rsidR="00B218B1">
        <w:rPr>
          <w:lang w:val="en-US"/>
        </w:rPr>
        <w:t xml:space="preserve"> to </w:t>
      </w:r>
      <w:r w:rsidR="00F91AB9">
        <w:rPr>
          <w:lang w:val="en-US"/>
        </w:rPr>
        <w:t>high skilled-rich, not only when the latter are the majority which determines redistribution policies, but also when the former form the majority.</w:t>
      </w:r>
    </w:p>
    <w:p w14:paraId="071F098F" w14:textId="77777777" w:rsidR="00B218B1" w:rsidRDefault="00B218B1" w:rsidP="00B218B1">
      <w:pPr>
        <w:pStyle w:val="10"/>
      </w:pPr>
    </w:p>
    <w:p w14:paraId="35C941AA" w14:textId="77777777" w:rsidR="00B218B1" w:rsidRDefault="00B218B1" w:rsidP="00A13898">
      <w:pPr>
        <w:pStyle w:val="10"/>
      </w:pPr>
    </w:p>
    <w:p w14:paraId="2164C307" w14:textId="6D4204C7" w:rsidR="00841BB6" w:rsidRDefault="00841BB6" w:rsidP="001003C6">
      <w:pPr>
        <w:pStyle w:val="10"/>
      </w:pPr>
    </w:p>
    <w:p w14:paraId="3D75BA7D" w14:textId="77777777" w:rsidR="00841BB6" w:rsidRDefault="00841BB6" w:rsidP="00841BB6">
      <w:pPr>
        <w:pStyle w:val="10"/>
        <w:rPr>
          <w:lang w:val="en-US"/>
        </w:rPr>
      </w:pPr>
    </w:p>
    <w:p w14:paraId="688022FA" w14:textId="77777777" w:rsidR="00841BB6" w:rsidRDefault="00841BB6" w:rsidP="00841BB6">
      <w:pPr>
        <w:pStyle w:val="10"/>
      </w:pPr>
    </w:p>
    <w:p w14:paraId="07215683" w14:textId="237E14AF" w:rsidR="00800654" w:rsidRDefault="00800654" w:rsidP="00800654">
      <w:pPr>
        <w:rPr>
          <w:b/>
          <w:bCs/>
        </w:rPr>
      </w:pPr>
      <w:r w:rsidRPr="00800654">
        <w:rPr>
          <w:b/>
          <w:bCs/>
        </w:rPr>
        <w:t>Appendix</w:t>
      </w:r>
      <w:r>
        <w:rPr>
          <w:b/>
          <w:bCs/>
        </w:rPr>
        <w:t xml:space="preserve">:   </w:t>
      </w:r>
      <w:r w:rsidRPr="00420643">
        <w:rPr>
          <w:b/>
          <w:bCs/>
        </w:rPr>
        <w:t>Parameter Values</w:t>
      </w:r>
    </w:p>
    <w:p w14:paraId="36BC6318" w14:textId="16A785A3" w:rsidR="00D16C44" w:rsidRPr="00420643" w:rsidRDefault="00D16C44" w:rsidP="00D16C44">
      <w:pPr>
        <w:rPr>
          <w:b/>
          <w:bCs/>
        </w:rPr>
      </w:pPr>
      <w:r>
        <w:rPr>
          <w:b/>
          <w:bCs/>
        </w:rPr>
        <w:t>Cross regime common parameter values</w:t>
      </w:r>
    </w:p>
    <w:p w14:paraId="16CABB4C" w14:textId="56C0FFC7" w:rsidR="00841BB6" w:rsidRDefault="00841BB6" w:rsidP="00841BB6">
      <w:pPr>
        <w:pStyle w:val="10"/>
        <w:rPr>
          <w:b/>
          <w:bCs/>
          <w:lang w:val="en-US"/>
        </w:rPr>
      </w:pPr>
    </w:p>
    <w:tbl>
      <w:tblPr>
        <w:tblW w:w="2400" w:type="dxa"/>
        <w:tblLook w:val="04A0" w:firstRow="1" w:lastRow="0" w:firstColumn="1" w:lastColumn="0" w:noHBand="0" w:noVBand="1"/>
      </w:tblPr>
      <w:tblGrid>
        <w:gridCol w:w="1200"/>
        <w:gridCol w:w="1200"/>
      </w:tblGrid>
      <w:tr w:rsidR="00800654" w:rsidRPr="00420643" w14:paraId="5B874B27" w14:textId="77777777" w:rsidTr="00214487">
        <w:trPr>
          <w:trHeight w:val="360"/>
        </w:trPr>
        <w:tc>
          <w:tcPr>
            <w:tcW w:w="1200" w:type="dxa"/>
            <w:tcBorders>
              <w:top w:val="nil"/>
              <w:left w:val="nil"/>
              <w:bottom w:val="nil"/>
              <w:right w:val="nil"/>
            </w:tcBorders>
            <w:shd w:val="clear" w:color="auto" w:fill="auto"/>
            <w:noWrap/>
            <w:vAlign w:val="bottom"/>
            <w:hideMark/>
          </w:tcPr>
          <w:p w14:paraId="35C560DD"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α</w:t>
            </w:r>
            <w:r w:rsidRPr="00420643">
              <w:rPr>
                <w:rFonts w:ascii="Calibri" w:eastAsia="Times New Roman" w:hAnsi="Calibri" w:cs="Calibri"/>
                <w:color w:val="000000"/>
                <w:vertAlign w:val="subscript"/>
              </w:rPr>
              <w:t>1</w:t>
            </w:r>
          </w:p>
        </w:tc>
        <w:tc>
          <w:tcPr>
            <w:tcW w:w="1200" w:type="dxa"/>
            <w:tcBorders>
              <w:top w:val="nil"/>
              <w:left w:val="nil"/>
              <w:bottom w:val="nil"/>
              <w:right w:val="nil"/>
            </w:tcBorders>
            <w:shd w:val="clear" w:color="auto" w:fill="auto"/>
            <w:noWrap/>
            <w:vAlign w:val="bottom"/>
            <w:hideMark/>
          </w:tcPr>
          <w:p w14:paraId="7021CB75" w14:textId="22B9AF22" w:rsidR="00800654" w:rsidRPr="00420643" w:rsidRDefault="00D16C44" w:rsidP="002144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     </w:t>
            </w:r>
            <w:r w:rsidR="00800654" w:rsidRPr="00420643">
              <w:rPr>
                <w:rFonts w:ascii="Calibri" w:eastAsia="Times New Roman" w:hAnsi="Calibri" w:cs="Calibri"/>
                <w:color w:val="000000"/>
              </w:rPr>
              <w:t>0.25</w:t>
            </w:r>
          </w:p>
        </w:tc>
      </w:tr>
      <w:tr w:rsidR="00800654" w:rsidRPr="00420643" w14:paraId="6C02DD5A" w14:textId="77777777" w:rsidTr="00214487">
        <w:trPr>
          <w:trHeight w:val="360"/>
        </w:trPr>
        <w:tc>
          <w:tcPr>
            <w:tcW w:w="1200" w:type="dxa"/>
            <w:tcBorders>
              <w:top w:val="nil"/>
              <w:left w:val="nil"/>
              <w:bottom w:val="nil"/>
              <w:right w:val="nil"/>
            </w:tcBorders>
            <w:shd w:val="clear" w:color="auto" w:fill="auto"/>
            <w:noWrap/>
            <w:vAlign w:val="bottom"/>
            <w:hideMark/>
          </w:tcPr>
          <w:p w14:paraId="705AF68D" w14:textId="77777777" w:rsidR="00800654" w:rsidRPr="00420643" w:rsidRDefault="00800654" w:rsidP="00214487">
            <w:pPr>
              <w:spacing w:after="0" w:line="240" w:lineRule="auto"/>
              <w:rPr>
                <w:rFonts w:ascii="Calibri" w:eastAsia="Times New Roman" w:hAnsi="Calibri" w:cs="Calibri"/>
                <w:color w:val="000000"/>
              </w:rPr>
            </w:pPr>
            <w:r>
              <w:rPr>
                <w:rFonts w:ascii="Calibri" w:eastAsia="Times New Roman" w:hAnsi="Calibri" w:cs="Calibri"/>
                <w:color w:val="000000"/>
              </w:rPr>
              <w:t>P</w:t>
            </w:r>
            <w:r w:rsidRPr="00420643">
              <w:rPr>
                <w:rFonts w:ascii="Calibri" w:eastAsia="Times New Roman" w:hAnsi="Calibri" w:cs="Calibri"/>
                <w:color w:val="000000"/>
              </w:rPr>
              <w:t>α</w:t>
            </w:r>
            <w:r w:rsidRPr="00420643">
              <w:rPr>
                <w:rFonts w:ascii="Calibri" w:eastAsia="Times New Roman" w:hAnsi="Calibri" w:cs="Calibri"/>
                <w:color w:val="000000"/>
                <w:vertAlign w:val="subscript"/>
              </w:rPr>
              <w:t>2</w:t>
            </w:r>
          </w:p>
        </w:tc>
        <w:tc>
          <w:tcPr>
            <w:tcW w:w="1200" w:type="dxa"/>
            <w:tcBorders>
              <w:top w:val="nil"/>
              <w:left w:val="nil"/>
              <w:bottom w:val="nil"/>
              <w:right w:val="nil"/>
            </w:tcBorders>
            <w:shd w:val="clear" w:color="auto" w:fill="auto"/>
            <w:noWrap/>
            <w:vAlign w:val="bottom"/>
            <w:hideMark/>
          </w:tcPr>
          <w:p w14:paraId="6CB161D3"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0.45</w:t>
            </w:r>
          </w:p>
        </w:tc>
      </w:tr>
      <w:tr w:rsidR="00800654" w:rsidRPr="00420643" w14:paraId="57BF2CB1" w14:textId="77777777" w:rsidTr="00214487">
        <w:trPr>
          <w:trHeight w:val="300"/>
        </w:trPr>
        <w:tc>
          <w:tcPr>
            <w:tcW w:w="1200" w:type="dxa"/>
            <w:tcBorders>
              <w:top w:val="nil"/>
              <w:left w:val="nil"/>
              <w:bottom w:val="nil"/>
              <w:right w:val="nil"/>
            </w:tcBorders>
            <w:shd w:val="clear" w:color="auto" w:fill="auto"/>
            <w:noWrap/>
            <w:vAlign w:val="bottom"/>
            <w:hideMark/>
          </w:tcPr>
          <w:p w14:paraId="44F2AFB8"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β</w:t>
            </w:r>
          </w:p>
        </w:tc>
        <w:tc>
          <w:tcPr>
            <w:tcW w:w="1200" w:type="dxa"/>
            <w:tcBorders>
              <w:top w:val="nil"/>
              <w:left w:val="nil"/>
              <w:bottom w:val="nil"/>
              <w:right w:val="nil"/>
            </w:tcBorders>
            <w:shd w:val="clear" w:color="auto" w:fill="auto"/>
            <w:noWrap/>
            <w:vAlign w:val="bottom"/>
            <w:hideMark/>
          </w:tcPr>
          <w:p w14:paraId="2D4C0095"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0.6</w:t>
            </w:r>
          </w:p>
        </w:tc>
      </w:tr>
      <w:tr w:rsidR="00800654" w:rsidRPr="00420643" w14:paraId="34298DFF" w14:textId="77777777" w:rsidTr="00214487">
        <w:trPr>
          <w:trHeight w:val="300"/>
        </w:trPr>
        <w:tc>
          <w:tcPr>
            <w:tcW w:w="1200" w:type="dxa"/>
            <w:tcBorders>
              <w:top w:val="nil"/>
              <w:left w:val="nil"/>
              <w:bottom w:val="nil"/>
              <w:right w:val="nil"/>
            </w:tcBorders>
            <w:shd w:val="clear" w:color="auto" w:fill="auto"/>
            <w:noWrap/>
            <w:vAlign w:val="bottom"/>
            <w:hideMark/>
          </w:tcPr>
          <w:p w14:paraId="5C2276F6"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Γ</w:t>
            </w:r>
          </w:p>
        </w:tc>
        <w:tc>
          <w:tcPr>
            <w:tcW w:w="1200" w:type="dxa"/>
            <w:tcBorders>
              <w:top w:val="nil"/>
              <w:left w:val="nil"/>
              <w:bottom w:val="nil"/>
              <w:right w:val="nil"/>
            </w:tcBorders>
            <w:shd w:val="clear" w:color="auto" w:fill="auto"/>
            <w:noWrap/>
            <w:vAlign w:val="bottom"/>
            <w:hideMark/>
          </w:tcPr>
          <w:p w14:paraId="313AB474"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0.5</w:t>
            </w:r>
          </w:p>
        </w:tc>
      </w:tr>
      <w:tr w:rsidR="00800654" w:rsidRPr="00420643" w14:paraId="684F42D6" w14:textId="77777777" w:rsidTr="00214487">
        <w:trPr>
          <w:trHeight w:val="300"/>
        </w:trPr>
        <w:tc>
          <w:tcPr>
            <w:tcW w:w="1200" w:type="dxa"/>
            <w:tcBorders>
              <w:top w:val="nil"/>
              <w:left w:val="nil"/>
              <w:bottom w:val="nil"/>
              <w:right w:val="nil"/>
            </w:tcBorders>
            <w:shd w:val="clear" w:color="auto" w:fill="auto"/>
            <w:noWrap/>
            <w:vAlign w:val="bottom"/>
            <w:hideMark/>
          </w:tcPr>
          <w:p w14:paraId="393950E5"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γ</w:t>
            </w:r>
          </w:p>
        </w:tc>
        <w:tc>
          <w:tcPr>
            <w:tcW w:w="1200" w:type="dxa"/>
            <w:tcBorders>
              <w:top w:val="nil"/>
              <w:left w:val="nil"/>
              <w:bottom w:val="nil"/>
              <w:right w:val="nil"/>
            </w:tcBorders>
            <w:shd w:val="clear" w:color="auto" w:fill="auto"/>
            <w:noWrap/>
            <w:vAlign w:val="bottom"/>
            <w:hideMark/>
          </w:tcPr>
          <w:p w14:paraId="66E13230"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0.05</w:t>
            </w:r>
          </w:p>
        </w:tc>
      </w:tr>
      <w:tr w:rsidR="00800654" w:rsidRPr="00420643" w14:paraId="53D272B0" w14:textId="77777777" w:rsidTr="00214487">
        <w:trPr>
          <w:trHeight w:val="360"/>
        </w:trPr>
        <w:tc>
          <w:tcPr>
            <w:tcW w:w="1200" w:type="dxa"/>
            <w:tcBorders>
              <w:top w:val="nil"/>
              <w:left w:val="nil"/>
              <w:bottom w:val="nil"/>
              <w:right w:val="nil"/>
            </w:tcBorders>
            <w:shd w:val="clear" w:color="auto" w:fill="auto"/>
            <w:noWrap/>
            <w:vAlign w:val="bottom"/>
            <w:hideMark/>
          </w:tcPr>
          <w:p w14:paraId="43C3FF0F"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A</w:t>
            </w:r>
            <w:r w:rsidRPr="00420643">
              <w:rPr>
                <w:rFonts w:ascii="Calibri" w:eastAsia="Times New Roman" w:hAnsi="Calibri" w:cs="Calibri"/>
                <w:color w:val="000000"/>
                <w:vertAlign w:val="subscript"/>
              </w:rPr>
              <w:t>1</w:t>
            </w:r>
          </w:p>
        </w:tc>
        <w:tc>
          <w:tcPr>
            <w:tcW w:w="1200" w:type="dxa"/>
            <w:tcBorders>
              <w:top w:val="nil"/>
              <w:left w:val="nil"/>
              <w:bottom w:val="nil"/>
              <w:right w:val="nil"/>
            </w:tcBorders>
            <w:shd w:val="clear" w:color="auto" w:fill="auto"/>
            <w:noWrap/>
            <w:vAlign w:val="bottom"/>
            <w:hideMark/>
          </w:tcPr>
          <w:p w14:paraId="511CAAD4"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5</w:t>
            </w:r>
          </w:p>
        </w:tc>
      </w:tr>
      <w:tr w:rsidR="00800654" w:rsidRPr="00420643" w14:paraId="7E67C822" w14:textId="77777777" w:rsidTr="00214487">
        <w:trPr>
          <w:trHeight w:val="360"/>
        </w:trPr>
        <w:tc>
          <w:tcPr>
            <w:tcW w:w="1200" w:type="dxa"/>
            <w:tcBorders>
              <w:top w:val="nil"/>
              <w:left w:val="nil"/>
              <w:bottom w:val="nil"/>
              <w:right w:val="nil"/>
            </w:tcBorders>
            <w:shd w:val="clear" w:color="auto" w:fill="auto"/>
            <w:noWrap/>
            <w:vAlign w:val="bottom"/>
            <w:hideMark/>
          </w:tcPr>
          <w:p w14:paraId="4B86A473"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A</w:t>
            </w:r>
            <w:r w:rsidRPr="00420643">
              <w:rPr>
                <w:rFonts w:ascii="Calibri" w:eastAsia="Times New Roman" w:hAnsi="Calibri" w:cs="Calibri"/>
                <w:color w:val="000000"/>
                <w:vertAlign w:val="subscript"/>
              </w:rPr>
              <w:t>2</w:t>
            </w:r>
          </w:p>
        </w:tc>
        <w:tc>
          <w:tcPr>
            <w:tcW w:w="1200" w:type="dxa"/>
            <w:tcBorders>
              <w:top w:val="nil"/>
              <w:left w:val="nil"/>
              <w:bottom w:val="nil"/>
              <w:right w:val="nil"/>
            </w:tcBorders>
            <w:shd w:val="clear" w:color="auto" w:fill="auto"/>
            <w:noWrap/>
            <w:vAlign w:val="bottom"/>
            <w:hideMark/>
          </w:tcPr>
          <w:p w14:paraId="075FB9CE"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5</w:t>
            </w:r>
          </w:p>
        </w:tc>
      </w:tr>
      <w:tr w:rsidR="00800654" w:rsidRPr="00420643" w14:paraId="0D24F258" w14:textId="77777777" w:rsidTr="00214487">
        <w:trPr>
          <w:trHeight w:val="300"/>
        </w:trPr>
        <w:tc>
          <w:tcPr>
            <w:tcW w:w="1200" w:type="dxa"/>
            <w:tcBorders>
              <w:top w:val="nil"/>
              <w:left w:val="nil"/>
              <w:bottom w:val="nil"/>
              <w:right w:val="nil"/>
            </w:tcBorders>
            <w:shd w:val="clear" w:color="auto" w:fill="auto"/>
            <w:noWrap/>
            <w:vAlign w:val="bottom"/>
            <w:hideMark/>
          </w:tcPr>
          <w:p w14:paraId="6E75B84F"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T</w:t>
            </w:r>
          </w:p>
        </w:tc>
        <w:tc>
          <w:tcPr>
            <w:tcW w:w="1200" w:type="dxa"/>
            <w:tcBorders>
              <w:top w:val="nil"/>
              <w:left w:val="nil"/>
              <w:bottom w:val="nil"/>
              <w:right w:val="nil"/>
            </w:tcBorders>
            <w:shd w:val="clear" w:color="auto" w:fill="auto"/>
            <w:noWrap/>
            <w:vAlign w:val="bottom"/>
            <w:hideMark/>
          </w:tcPr>
          <w:p w14:paraId="352CA78F"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2</w:t>
            </w:r>
          </w:p>
        </w:tc>
      </w:tr>
      <w:tr w:rsidR="00800654" w:rsidRPr="00420643" w14:paraId="7647E853" w14:textId="77777777" w:rsidTr="00214487">
        <w:trPr>
          <w:trHeight w:val="300"/>
        </w:trPr>
        <w:tc>
          <w:tcPr>
            <w:tcW w:w="1200" w:type="dxa"/>
            <w:tcBorders>
              <w:top w:val="nil"/>
              <w:left w:val="nil"/>
              <w:bottom w:val="nil"/>
              <w:right w:val="nil"/>
            </w:tcBorders>
            <w:shd w:val="clear" w:color="auto" w:fill="auto"/>
            <w:noWrap/>
            <w:vAlign w:val="bottom"/>
            <w:hideMark/>
          </w:tcPr>
          <w:p w14:paraId="5D71C1D4"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λ</w:t>
            </w:r>
          </w:p>
        </w:tc>
        <w:tc>
          <w:tcPr>
            <w:tcW w:w="1200" w:type="dxa"/>
            <w:tcBorders>
              <w:top w:val="nil"/>
              <w:left w:val="nil"/>
              <w:bottom w:val="nil"/>
              <w:right w:val="nil"/>
            </w:tcBorders>
            <w:shd w:val="clear" w:color="auto" w:fill="auto"/>
            <w:noWrap/>
            <w:vAlign w:val="bottom"/>
            <w:hideMark/>
          </w:tcPr>
          <w:p w14:paraId="7025D421"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0.5</w:t>
            </w:r>
          </w:p>
        </w:tc>
      </w:tr>
      <w:tr w:rsidR="00800654" w:rsidRPr="00420643" w14:paraId="0EB810B3" w14:textId="77777777" w:rsidTr="00214487">
        <w:trPr>
          <w:trHeight w:val="375"/>
        </w:trPr>
        <w:tc>
          <w:tcPr>
            <w:tcW w:w="1200" w:type="dxa"/>
            <w:tcBorders>
              <w:top w:val="nil"/>
              <w:left w:val="nil"/>
              <w:bottom w:val="nil"/>
              <w:right w:val="nil"/>
            </w:tcBorders>
            <w:shd w:val="clear" w:color="auto" w:fill="auto"/>
            <w:noWrap/>
            <w:vAlign w:val="bottom"/>
            <w:hideMark/>
          </w:tcPr>
          <w:p w14:paraId="3FA8BF8C"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t</w:t>
            </w:r>
            <w:r w:rsidRPr="00420643">
              <w:rPr>
                <w:rFonts w:ascii="Calibri" w:eastAsia="Times New Roman" w:hAnsi="Calibri" w:cs="Calibri"/>
                <w:color w:val="000000"/>
                <w:vertAlign w:val="subscript"/>
              </w:rPr>
              <w:t>k</w:t>
            </w:r>
            <w:r w:rsidRPr="00420643">
              <w:rPr>
                <w:rFonts w:ascii="Calibri" w:eastAsia="Times New Roman" w:hAnsi="Calibri" w:cs="Calibri"/>
                <w:color w:val="000000"/>
                <w:vertAlign w:val="superscript"/>
              </w:rPr>
              <w:t>*</w:t>
            </w:r>
          </w:p>
        </w:tc>
        <w:tc>
          <w:tcPr>
            <w:tcW w:w="1200" w:type="dxa"/>
            <w:tcBorders>
              <w:top w:val="nil"/>
              <w:left w:val="nil"/>
              <w:bottom w:val="nil"/>
              <w:right w:val="nil"/>
            </w:tcBorders>
            <w:shd w:val="clear" w:color="auto" w:fill="auto"/>
            <w:noWrap/>
            <w:vAlign w:val="bottom"/>
            <w:hideMark/>
          </w:tcPr>
          <w:p w14:paraId="47C94064"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0.4</w:t>
            </w:r>
          </w:p>
        </w:tc>
      </w:tr>
      <w:tr w:rsidR="00800654" w:rsidRPr="00420643" w14:paraId="49C563A3" w14:textId="77777777" w:rsidTr="00214487">
        <w:trPr>
          <w:trHeight w:val="300"/>
        </w:trPr>
        <w:tc>
          <w:tcPr>
            <w:tcW w:w="1200" w:type="dxa"/>
            <w:tcBorders>
              <w:top w:val="nil"/>
              <w:left w:val="nil"/>
              <w:bottom w:val="nil"/>
              <w:right w:val="nil"/>
            </w:tcBorders>
            <w:shd w:val="clear" w:color="auto" w:fill="auto"/>
            <w:noWrap/>
            <w:vAlign w:val="bottom"/>
            <w:hideMark/>
          </w:tcPr>
          <w:p w14:paraId="46656ABC"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Z</w:t>
            </w:r>
          </w:p>
        </w:tc>
        <w:tc>
          <w:tcPr>
            <w:tcW w:w="1200" w:type="dxa"/>
            <w:tcBorders>
              <w:top w:val="nil"/>
              <w:left w:val="nil"/>
              <w:bottom w:val="nil"/>
              <w:right w:val="nil"/>
            </w:tcBorders>
            <w:shd w:val="clear" w:color="auto" w:fill="auto"/>
            <w:noWrap/>
            <w:vAlign w:val="bottom"/>
            <w:hideMark/>
          </w:tcPr>
          <w:p w14:paraId="3BBC819E"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0.05</w:t>
            </w:r>
          </w:p>
        </w:tc>
      </w:tr>
      <w:tr w:rsidR="00800654" w:rsidRPr="00420643" w14:paraId="5D3C572B" w14:textId="77777777" w:rsidTr="00214487">
        <w:trPr>
          <w:trHeight w:val="300"/>
        </w:trPr>
        <w:tc>
          <w:tcPr>
            <w:tcW w:w="1200" w:type="dxa"/>
            <w:tcBorders>
              <w:top w:val="nil"/>
              <w:left w:val="nil"/>
              <w:bottom w:val="nil"/>
              <w:right w:val="nil"/>
            </w:tcBorders>
            <w:shd w:val="clear" w:color="auto" w:fill="auto"/>
            <w:noWrap/>
            <w:vAlign w:val="bottom"/>
            <w:hideMark/>
          </w:tcPr>
          <w:p w14:paraId="348C4ADE"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ζ</w:t>
            </w:r>
          </w:p>
        </w:tc>
        <w:tc>
          <w:tcPr>
            <w:tcW w:w="1200" w:type="dxa"/>
            <w:tcBorders>
              <w:top w:val="nil"/>
              <w:left w:val="nil"/>
              <w:bottom w:val="nil"/>
              <w:right w:val="nil"/>
            </w:tcBorders>
            <w:shd w:val="clear" w:color="auto" w:fill="auto"/>
            <w:noWrap/>
            <w:vAlign w:val="bottom"/>
            <w:hideMark/>
          </w:tcPr>
          <w:p w14:paraId="0520FAA6"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2</w:t>
            </w:r>
          </w:p>
        </w:tc>
      </w:tr>
      <w:tr w:rsidR="00800654" w:rsidRPr="00420643" w14:paraId="1896611F" w14:textId="77777777" w:rsidTr="00214487">
        <w:trPr>
          <w:trHeight w:val="300"/>
        </w:trPr>
        <w:tc>
          <w:tcPr>
            <w:tcW w:w="1200" w:type="dxa"/>
            <w:tcBorders>
              <w:top w:val="nil"/>
              <w:left w:val="nil"/>
              <w:bottom w:val="nil"/>
              <w:right w:val="nil"/>
            </w:tcBorders>
            <w:shd w:val="clear" w:color="auto" w:fill="auto"/>
            <w:noWrap/>
            <w:vAlign w:val="bottom"/>
            <w:hideMark/>
          </w:tcPr>
          <w:p w14:paraId="6EE8F48B"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U*</w:t>
            </w:r>
          </w:p>
        </w:tc>
        <w:tc>
          <w:tcPr>
            <w:tcW w:w="1200" w:type="dxa"/>
            <w:tcBorders>
              <w:top w:val="nil"/>
              <w:left w:val="nil"/>
              <w:bottom w:val="nil"/>
              <w:right w:val="nil"/>
            </w:tcBorders>
            <w:shd w:val="clear" w:color="auto" w:fill="auto"/>
            <w:noWrap/>
            <w:vAlign w:val="bottom"/>
            <w:hideMark/>
          </w:tcPr>
          <w:p w14:paraId="79FA7639"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1.5</w:t>
            </w:r>
          </w:p>
        </w:tc>
      </w:tr>
      <w:tr w:rsidR="00800654" w:rsidRPr="00420643" w14:paraId="4E6424F4" w14:textId="77777777" w:rsidTr="00214487">
        <w:trPr>
          <w:trHeight w:val="360"/>
        </w:trPr>
        <w:tc>
          <w:tcPr>
            <w:tcW w:w="1200" w:type="dxa"/>
            <w:tcBorders>
              <w:top w:val="nil"/>
              <w:left w:val="nil"/>
              <w:bottom w:val="nil"/>
              <w:right w:val="nil"/>
            </w:tcBorders>
            <w:shd w:val="clear" w:color="auto" w:fill="auto"/>
            <w:noWrap/>
            <w:vAlign w:val="bottom"/>
            <w:hideMark/>
          </w:tcPr>
          <w:p w14:paraId="5C1891D7"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a</w:t>
            </w:r>
            <w:r w:rsidRPr="00420643">
              <w:rPr>
                <w:rFonts w:ascii="Calibri" w:eastAsia="Times New Roman" w:hAnsi="Calibri" w:cs="Calibri"/>
                <w:color w:val="000000"/>
                <w:vertAlign w:val="subscript"/>
              </w:rPr>
              <w:t>c</w:t>
            </w:r>
          </w:p>
        </w:tc>
        <w:tc>
          <w:tcPr>
            <w:tcW w:w="1200" w:type="dxa"/>
            <w:tcBorders>
              <w:top w:val="nil"/>
              <w:left w:val="nil"/>
              <w:bottom w:val="nil"/>
              <w:right w:val="nil"/>
            </w:tcBorders>
            <w:shd w:val="clear" w:color="auto" w:fill="auto"/>
            <w:noWrap/>
            <w:vAlign w:val="bottom"/>
            <w:hideMark/>
          </w:tcPr>
          <w:p w14:paraId="359FCC0F"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0.5</w:t>
            </w:r>
          </w:p>
        </w:tc>
      </w:tr>
      <w:tr w:rsidR="00800654" w:rsidRPr="00420643" w14:paraId="3CC5C9EB" w14:textId="77777777" w:rsidTr="00214487">
        <w:trPr>
          <w:trHeight w:val="360"/>
        </w:trPr>
        <w:tc>
          <w:tcPr>
            <w:tcW w:w="1200" w:type="dxa"/>
            <w:tcBorders>
              <w:top w:val="nil"/>
              <w:left w:val="nil"/>
              <w:bottom w:val="nil"/>
              <w:right w:val="nil"/>
            </w:tcBorders>
            <w:shd w:val="clear" w:color="auto" w:fill="auto"/>
            <w:noWrap/>
            <w:vAlign w:val="bottom"/>
            <w:hideMark/>
          </w:tcPr>
          <w:p w14:paraId="72EA85BF"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a</w:t>
            </w:r>
            <w:r w:rsidRPr="00420643">
              <w:rPr>
                <w:rFonts w:ascii="Calibri" w:eastAsia="Times New Roman" w:hAnsi="Calibri" w:cs="Calibri"/>
                <w:color w:val="000000"/>
                <w:vertAlign w:val="subscript"/>
              </w:rPr>
              <w:t>k</w:t>
            </w:r>
          </w:p>
        </w:tc>
        <w:tc>
          <w:tcPr>
            <w:tcW w:w="1200" w:type="dxa"/>
            <w:tcBorders>
              <w:top w:val="nil"/>
              <w:left w:val="nil"/>
              <w:bottom w:val="nil"/>
              <w:right w:val="nil"/>
            </w:tcBorders>
            <w:shd w:val="clear" w:color="auto" w:fill="auto"/>
            <w:noWrap/>
            <w:vAlign w:val="bottom"/>
            <w:hideMark/>
          </w:tcPr>
          <w:p w14:paraId="2A19D9D0"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0.5</w:t>
            </w:r>
          </w:p>
        </w:tc>
      </w:tr>
      <w:tr w:rsidR="00800654" w:rsidRPr="00420643" w14:paraId="19FB0B02" w14:textId="77777777" w:rsidTr="00214487">
        <w:trPr>
          <w:trHeight w:val="360"/>
        </w:trPr>
        <w:tc>
          <w:tcPr>
            <w:tcW w:w="1200" w:type="dxa"/>
            <w:tcBorders>
              <w:top w:val="nil"/>
              <w:left w:val="nil"/>
              <w:bottom w:val="nil"/>
              <w:right w:val="nil"/>
            </w:tcBorders>
            <w:shd w:val="clear" w:color="auto" w:fill="auto"/>
            <w:noWrap/>
            <w:vAlign w:val="bottom"/>
            <w:hideMark/>
          </w:tcPr>
          <w:p w14:paraId="0AE00F8C" w14:textId="77777777" w:rsidR="00800654" w:rsidRPr="00420643" w:rsidRDefault="00800654" w:rsidP="00214487">
            <w:pPr>
              <w:spacing w:after="0" w:line="240" w:lineRule="auto"/>
              <w:rPr>
                <w:rFonts w:ascii="Calibri" w:eastAsia="Times New Roman" w:hAnsi="Calibri" w:cs="Calibri"/>
                <w:color w:val="000000"/>
                <w:u w:val="single"/>
              </w:rPr>
            </w:pPr>
            <w:r w:rsidRPr="00420643">
              <w:rPr>
                <w:rFonts w:ascii="Calibri" w:eastAsia="Times New Roman" w:hAnsi="Calibri" w:cs="Calibri"/>
                <w:color w:val="000000"/>
                <w:u w:val="single"/>
              </w:rPr>
              <w:t>x</w:t>
            </w:r>
            <w:r w:rsidRPr="00420643">
              <w:rPr>
                <w:rFonts w:ascii="Calibri" w:eastAsia="Times New Roman" w:hAnsi="Calibri" w:cs="Calibri"/>
                <w:color w:val="000000"/>
                <w:vertAlign w:val="subscript"/>
              </w:rPr>
              <w:t>u</w:t>
            </w:r>
          </w:p>
        </w:tc>
        <w:tc>
          <w:tcPr>
            <w:tcW w:w="1200" w:type="dxa"/>
            <w:tcBorders>
              <w:top w:val="nil"/>
              <w:left w:val="nil"/>
              <w:bottom w:val="nil"/>
              <w:right w:val="nil"/>
            </w:tcBorders>
            <w:shd w:val="clear" w:color="auto" w:fill="auto"/>
            <w:noWrap/>
            <w:vAlign w:val="bottom"/>
            <w:hideMark/>
          </w:tcPr>
          <w:p w14:paraId="50C112CC"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0.5</w:t>
            </w:r>
          </w:p>
        </w:tc>
      </w:tr>
      <w:tr w:rsidR="00800654" w:rsidRPr="00420643" w14:paraId="2246EA53" w14:textId="77777777" w:rsidTr="00214487">
        <w:trPr>
          <w:trHeight w:val="300"/>
        </w:trPr>
        <w:tc>
          <w:tcPr>
            <w:tcW w:w="1200" w:type="dxa"/>
            <w:tcBorders>
              <w:top w:val="nil"/>
              <w:left w:val="nil"/>
              <w:bottom w:val="nil"/>
              <w:right w:val="nil"/>
            </w:tcBorders>
            <w:shd w:val="clear" w:color="auto" w:fill="auto"/>
            <w:noWrap/>
            <w:vAlign w:val="bottom"/>
            <w:hideMark/>
          </w:tcPr>
          <w:p w14:paraId="4EE1F89C" w14:textId="77777777" w:rsidR="00800654" w:rsidRPr="00420643" w:rsidRDefault="00800654" w:rsidP="00214487">
            <w:pPr>
              <w:spacing w:after="0" w:line="240" w:lineRule="auto"/>
              <w:rPr>
                <w:rFonts w:ascii="Calibri" w:eastAsia="Times New Roman" w:hAnsi="Calibri" w:cs="Calibri"/>
                <w:color w:val="000000"/>
              </w:rPr>
            </w:pPr>
            <w:r w:rsidRPr="00420643">
              <w:rPr>
                <w:rFonts w:ascii="Calibri" w:eastAsia="Times New Roman" w:hAnsi="Calibri" w:cs="Calibri"/>
                <w:color w:val="000000"/>
              </w:rPr>
              <w:t>ρ</w:t>
            </w:r>
          </w:p>
        </w:tc>
        <w:tc>
          <w:tcPr>
            <w:tcW w:w="1200" w:type="dxa"/>
            <w:tcBorders>
              <w:top w:val="nil"/>
              <w:left w:val="nil"/>
              <w:bottom w:val="nil"/>
              <w:right w:val="nil"/>
            </w:tcBorders>
            <w:shd w:val="clear" w:color="auto" w:fill="auto"/>
            <w:noWrap/>
            <w:vAlign w:val="bottom"/>
            <w:hideMark/>
          </w:tcPr>
          <w:p w14:paraId="4E0B4AF1"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1</w:t>
            </w:r>
          </w:p>
        </w:tc>
      </w:tr>
      <w:tr w:rsidR="00800654" w:rsidRPr="00420643" w14:paraId="22306861" w14:textId="77777777" w:rsidTr="00214487">
        <w:trPr>
          <w:trHeight w:val="360"/>
        </w:trPr>
        <w:tc>
          <w:tcPr>
            <w:tcW w:w="1200" w:type="dxa"/>
            <w:tcBorders>
              <w:top w:val="nil"/>
              <w:left w:val="nil"/>
              <w:bottom w:val="nil"/>
              <w:right w:val="nil"/>
            </w:tcBorders>
            <w:shd w:val="clear" w:color="auto" w:fill="auto"/>
            <w:noWrap/>
            <w:vAlign w:val="bottom"/>
            <w:hideMark/>
          </w:tcPr>
          <w:p w14:paraId="159845C6" w14:textId="77777777" w:rsidR="00800654" w:rsidRPr="00420643" w:rsidRDefault="00800654" w:rsidP="00214487">
            <w:pPr>
              <w:spacing w:after="0" w:line="240" w:lineRule="auto"/>
              <w:rPr>
                <w:rFonts w:ascii="Calibri" w:eastAsia="Times New Roman" w:hAnsi="Calibri" w:cs="Calibri"/>
                <w:color w:val="000000"/>
                <w:u w:val="single"/>
              </w:rPr>
            </w:pPr>
            <w:r w:rsidRPr="00420643">
              <w:rPr>
                <w:rFonts w:ascii="Calibri" w:eastAsia="Times New Roman" w:hAnsi="Calibri" w:cs="Calibri"/>
                <w:color w:val="000000"/>
                <w:u w:val="single"/>
              </w:rPr>
              <w:t>x</w:t>
            </w:r>
            <w:r w:rsidRPr="00420643">
              <w:rPr>
                <w:rFonts w:ascii="Calibri" w:eastAsia="Times New Roman" w:hAnsi="Calibri" w:cs="Calibri"/>
                <w:color w:val="000000"/>
                <w:vertAlign w:val="subscript"/>
              </w:rPr>
              <w:t>s</w:t>
            </w:r>
          </w:p>
        </w:tc>
        <w:tc>
          <w:tcPr>
            <w:tcW w:w="1200" w:type="dxa"/>
            <w:tcBorders>
              <w:top w:val="nil"/>
              <w:left w:val="nil"/>
              <w:bottom w:val="nil"/>
              <w:right w:val="nil"/>
            </w:tcBorders>
            <w:shd w:val="clear" w:color="auto" w:fill="auto"/>
            <w:noWrap/>
            <w:vAlign w:val="bottom"/>
            <w:hideMark/>
          </w:tcPr>
          <w:p w14:paraId="0DB98BAF" w14:textId="77777777" w:rsidR="00800654" w:rsidRPr="00420643" w:rsidRDefault="00800654" w:rsidP="00214487">
            <w:pPr>
              <w:spacing w:after="0" w:line="240" w:lineRule="auto"/>
              <w:jc w:val="right"/>
              <w:rPr>
                <w:rFonts w:ascii="Calibri" w:eastAsia="Times New Roman" w:hAnsi="Calibri" w:cs="Calibri"/>
                <w:color w:val="000000"/>
              </w:rPr>
            </w:pPr>
            <w:r w:rsidRPr="00420643">
              <w:rPr>
                <w:rFonts w:ascii="Calibri" w:eastAsia="Times New Roman" w:hAnsi="Calibri" w:cs="Calibri"/>
                <w:color w:val="000000"/>
              </w:rPr>
              <w:t>0.5</w:t>
            </w:r>
          </w:p>
        </w:tc>
      </w:tr>
    </w:tbl>
    <w:p w14:paraId="362126BB" w14:textId="77777777" w:rsidR="00800654" w:rsidRDefault="00800654" w:rsidP="00800654">
      <w:pPr>
        <w:rPr>
          <w:b/>
          <w:bCs/>
        </w:rPr>
      </w:pPr>
    </w:p>
    <w:p w14:paraId="00AC873C" w14:textId="77777777" w:rsidR="00800654" w:rsidRPr="00420643" w:rsidRDefault="00800654" w:rsidP="00800654">
      <w:pPr>
        <w:rPr>
          <w:b/>
          <w:bCs/>
        </w:rPr>
      </w:pPr>
    </w:p>
    <w:p w14:paraId="457685CF" w14:textId="69BF37B2" w:rsidR="00D16C44" w:rsidRDefault="00D16C44" w:rsidP="00D16C44">
      <w:pPr>
        <w:rPr>
          <w:b/>
          <w:bCs/>
        </w:rPr>
      </w:pPr>
      <w:r>
        <w:rPr>
          <w:b/>
          <w:bCs/>
        </w:rPr>
        <w:t>Regime-specific parameter values</w:t>
      </w:r>
    </w:p>
    <w:tbl>
      <w:tblPr>
        <w:tblW w:w="5040" w:type="dxa"/>
        <w:tblLook w:val="04A0" w:firstRow="1" w:lastRow="0" w:firstColumn="1" w:lastColumn="0" w:noHBand="0" w:noVBand="1"/>
      </w:tblPr>
      <w:tblGrid>
        <w:gridCol w:w="1165"/>
        <w:gridCol w:w="1276"/>
        <w:gridCol w:w="1549"/>
        <w:gridCol w:w="1200"/>
      </w:tblGrid>
      <w:tr w:rsidR="00D16C44" w:rsidRPr="00D16C44" w14:paraId="7FA5E6BD" w14:textId="77777777" w:rsidTr="00D16C44">
        <w:trPr>
          <w:trHeight w:val="300"/>
        </w:trPr>
        <w:tc>
          <w:tcPr>
            <w:tcW w:w="3840" w:type="dxa"/>
            <w:gridSpan w:val="3"/>
            <w:tcBorders>
              <w:top w:val="nil"/>
              <w:left w:val="nil"/>
              <w:bottom w:val="nil"/>
              <w:right w:val="nil"/>
            </w:tcBorders>
            <w:shd w:val="clear" w:color="000000" w:fill="00B0F0"/>
            <w:noWrap/>
            <w:vAlign w:val="bottom"/>
            <w:hideMark/>
          </w:tcPr>
          <w:p w14:paraId="7CBC7487" w14:textId="5361CCFB" w:rsidR="00D16C44" w:rsidRPr="00D16C44" w:rsidRDefault="00D16C44" w:rsidP="00D16C44">
            <w:pPr>
              <w:spacing w:after="0" w:line="240" w:lineRule="auto"/>
              <w:jc w:val="center"/>
              <w:rPr>
                <w:rFonts w:ascii="Calibri" w:eastAsia="Times New Roman" w:hAnsi="Calibri" w:cs="Calibri"/>
                <w:b/>
                <w:bCs/>
                <w:color w:val="000000"/>
              </w:rPr>
            </w:pPr>
          </w:p>
        </w:tc>
        <w:tc>
          <w:tcPr>
            <w:tcW w:w="1200" w:type="dxa"/>
            <w:tcBorders>
              <w:top w:val="nil"/>
              <w:left w:val="nil"/>
              <w:bottom w:val="nil"/>
              <w:right w:val="nil"/>
            </w:tcBorders>
            <w:shd w:val="clear" w:color="auto" w:fill="auto"/>
            <w:noWrap/>
            <w:vAlign w:val="bottom"/>
            <w:hideMark/>
          </w:tcPr>
          <w:p w14:paraId="64CF4C10" w14:textId="77777777" w:rsidR="00D16C44" w:rsidRPr="00D16C44" w:rsidRDefault="00D16C44" w:rsidP="00D16C44">
            <w:pPr>
              <w:spacing w:after="0" w:line="240" w:lineRule="auto"/>
              <w:jc w:val="center"/>
              <w:rPr>
                <w:rFonts w:ascii="Calibri" w:eastAsia="Times New Roman" w:hAnsi="Calibri" w:cs="Calibri"/>
                <w:b/>
                <w:bCs/>
                <w:color w:val="000000"/>
              </w:rPr>
            </w:pPr>
          </w:p>
        </w:tc>
      </w:tr>
      <w:tr w:rsidR="00D16C44" w:rsidRPr="00D16C44" w14:paraId="2ECE1B9D" w14:textId="77777777" w:rsidTr="00D16C44">
        <w:trPr>
          <w:trHeight w:val="300"/>
        </w:trPr>
        <w:tc>
          <w:tcPr>
            <w:tcW w:w="3840" w:type="dxa"/>
            <w:gridSpan w:val="3"/>
            <w:tcBorders>
              <w:top w:val="nil"/>
              <w:left w:val="nil"/>
              <w:bottom w:val="nil"/>
              <w:right w:val="nil"/>
            </w:tcBorders>
            <w:shd w:val="clear" w:color="000000" w:fill="B4C6E7"/>
            <w:noWrap/>
            <w:vAlign w:val="bottom"/>
            <w:hideMark/>
          </w:tcPr>
          <w:p w14:paraId="1A91D434" w14:textId="77777777" w:rsidR="00D16C44" w:rsidRPr="00D16C44" w:rsidRDefault="00D16C44" w:rsidP="00D16C44">
            <w:pPr>
              <w:spacing w:after="0" w:line="240" w:lineRule="auto"/>
              <w:jc w:val="center"/>
              <w:rPr>
                <w:rFonts w:ascii="Calibri" w:eastAsia="Times New Roman" w:hAnsi="Calibri" w:cs="Calibri"/>
                <w:b/>
                <w:bCs/>
                <w:color w:val="000000"/>
              </w:rPr>
            </w:pPr>
            <w:r w:rsidRPr="00D16C44">
              <w:rPr>
                <w:rFonts w:ascii="Calibri" w:eastAsia="Times New Roman" w:hAnsi="Calibri" w:cs="Calibri"/>
                <w:b/>
                <w:bCs/>
                <w:color w:val="000000"/>
              </w:rPr>
              <w:t>Trade</w:t>
            </w:r>
          </w:p>
        </w:tc>
        <w:tc>
          <w:tcPr>
            <w:tcW w:w="1200" w:type="dxa"/>
            <w:tcBorders>
              <w:top w:val="nil"/>
              <w:left w:val="nil"/>
              <w:bottom w:val="nil"/>
              <w:right w:val="nil"/>
            </w:tcBorders>
            <w:shd w:val="clear" w:color="auto" w:fill="auto"/>
            <w:noWrap/>
            <w:vAlign w:val="bottom"/>
            <w:hideMark/>
          </w:tcPr>
          <w:p w14:paraId="678685F6" w14:textId="77777777" w:rsidR="00D16C44" w:rsidRPr="00D16C44" w:rsidRDefault="00D16C44" w:rsidP="00D16C44">
            <w:pPr>
              <w:spacing w:after="0" w:line="240" w:lineRule="auto"/>
              <w:jc w:val="center"/>
              <w:rPr>
                <w:rFonts w:ascii="Calibri" w:eastAsia="Times New Roman" w:hAnsi="Calibri" w:cs="Calibri"/>
                <w:b/>
                <w:bCs/>
                <w:color w:val="000000"/>
              </w:rPr>
            </w:pPr>
          </w:p>
        </w:tc>
      </w:tr>
      <w:tr w:rsidR="00D16C44" w:rsidRPr="00D16C44" w14:paraId="489F0AB6" w14:textId="77777777" w:rsidTr="00D16C44">
        <w:trPr>
          <w:trHeight w:val="300"/>
        </w:trPr>
        <w:tc>
          <w:tcPr>
            <w:tcW w:w="1084" w:type="dxa"/>
            <w:tcBorders>
              <w:top w:val="nil"/>
              <w:left w:val="nil"/>
              <w:bottom w:val="nil"/>
              <w:right w:val="nil"/>
            </w:tcBorders>
            <w:shd w:val="clear" w:color="auto" w:fill="auto"/>
            <w:noWrap/>
            <w:vAlign w:val="bottom"/>
            <w:hideMark/>
          </w:tcPr>
          <w:p w14:paraId="3406296E"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parameter</w:t>
            </w:r>
          </w:p>
        </w:tc>
        <w:tc>
          <w:tcPr>
            <w:tcW w:w="1207" w:type="dxa"/>
            <w:tcBorders>
              <w:top w:val="nil"/>
              <w:left w:val="nil"/>
              <w:bottom w:val="nil"/>
              <w:right w:val="nil"/>
            </w:tcBorders>
            <w:shd w:val="clear" w:color="auto" w:fill="auto"/>
            <w:noWrap/>
            <w:vAlign w:val="bottom"/>
            <w:hideMark/>
          </w:tcPr>
          <w:p w14:paraId="6B70412B"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value</w:t>
            </w:r>
          </w:p>
        </w:tc>
        <w:tc>
          <w:tcPr>
            <w:tcW w:w="1549" w:type="dxa"/>
            <w:tcBorders>
              <w:top w:val="nil"/>
              <w:left w:val="nil"/>
              <w:bottom w:val="nil"/>
              <w:right w:val="nil"/>
            </w:tcBorders>
            <w:shd w:val="clear" w:color="auto" w:fill="auto"/>
            <w:noWrap/>
            <w:vAlign w:val="bottom"/>
            <w:hideMark/>
          </w:tcPr>
          <w:p w14:paraId="4C80F127"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Figures</w:t>
            </w:r>
          </w:p>
        </w:tc>
        <w:tc>
          <w:tcPr>
            <w:tcW w:w="1200" w:type="dxa"/>
            <w:tcBorders>
              <w:top w:val="nil"/>
              <w:left w:val="nil"/>
              <w:bottom w:val="nil"/>
              <w:right w:val="nil"/>
            </w:tcBorders>
            <w:shd w:val="clear" w:color="auto" w:fill="auto"/>
            <w:noWrap/>
            <w:vAlign w:val="bottom"/>
            <w:hideMark/>
          </w:tcPr>
          <w:p w14:paraId="09B0399E" w14:textId="77777777" w:rsidR="00D16C44" w:rsidRPr="00D16C44" w:rsidRDefault="00D16C44" w:rsidP="00D16C44">
            <w:pPr>
              <w:spacing w:after="0" w:line="240" w:lineRule="auto"/>
              <w:rPr>
                <w:rFonts w:ascii="Calibri" w:eastAsia="Times New Roman" w:hAnsi="Calibri" w:cs="Calibri"/>
                <w:color w:val="000000"/>
              </w:rPr>
            </w:pPr>
          </w:p>
        </w:tc>
      </w:tr>
      <w:tr w:rsidR="00D16C44" w:rsidRPr="00D16C44" w14:paraId="3C64F098" w14:textId="77777777" w:rsidTr="00D16C44">
        <w:trPr>
          <w:trHeight w:val="345"/>
        </w:trPr>
        <w:tc>
          <w:tcPr>
            <w:tcW w:w="1084" w:type="dxa"/>
            <w:tcBorders>
              <w:top w:val="nil"/>
              <w:left w:val="nil"/>
              <w:bottom w:val="nil"/>
              <w:right w:val="nil"/>
            </w:tcBorders>
            <w:shd w:val="clear" w:color="auto" w:fill="auto"/>
            <w:noWrap/>
            <w:vAlign w:val="bottom"/>
            <w:hideMark/>
          </w:tcPr>
          <w:p w14:paraId="186AB752"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p</w:t>
            </w:r>
            <w:r w:rsidRPr="00D16C44">
              <w:rPr>
                <w:rFonts w:ascii="Calibri" w:eastAsia="Times New Roman" w:hAnsi="Calibri" w:cs="Calibri"/>
                <w:color w:val="000000"/>
                <w:vertAlign w:val="superscript"/>
              </w:rPr>
              <w:t>*</w:t>
            </w:r>
          </w:p>
        </w:tc>
        <w:tc>
          <w:tcPr>
            <w:tcW w:w="1207" w:type="dxa"/>
            <w:tcBorders>
              <w:top w:val="nil"/>
              <w:left w:val="nil"/>
              <w:bottom w:val="nil"/>
              <w:right w:val="nil"/>
            </w:tcBorders>
            <w:shd w:val="clear" w:color="auto" w:fill="auto"/>
            <w:noWrap/>
            <w:vAlign w:val="bottom"/>
            <w:hideMark/>
          </w:tcPr>
          <w:p w14:paraId="5107780A" w14:textId="77777777" w:rsidR="00D16C44" w:rsidRPr="00D16C44" w:rsidRDefault="00D16C44" w:rsidP="00D16C44">
            <w:pPr>
              <w:spacing w:after="0" w:line="240" w:lineRule="auto"/>
              <w:jc w:val="right"/>
              <w:rPr>
                <w:rFonts w:ascii="Calibri" w:eastAsia="Times New Roman" w:hAnsi="Calibri" w:cs="Calibri"/>
                <w:color w:val="000000"/>
              </w:rPr>
            </w:pPr>
            <w:r w:rsidRPr="00D16C44">
              <w:rPr>
                <w:rFonts w:ascii="Calibri" w:eastAsia="Times New Roman" w:hAnsi="Calibri" w:cs="Calibri"/>
                <w:color w:val="000000"/>
              </w:rPr>
              <w:t>1.56</w:t>
            </w:r>
          </w:p>
        </w:tc>
        <w:tc>
          <w:tcPr>
            <w:tcW w:w="2749" w:type="dxa"/>
            <w:gridSpan w:val="2"/>
            <w:tcBorders>
              <w:top w:val="nil"/>
              <w:left w:val="nil"/>
              <w:bottom w:val="nil"/>
              <w:right w:val="nil"/>
            </w:tcBorders>
            <w:shd w:val="clear" w:color="auto" w:fill="auto"/>
            <w:noWrap/>
            <w:vAlign w:val="bottom"/>
            <w:hideMark/>
          </w:tcPr>
          <w:p w14:paraId="2694FAC4"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K-specialization</w:t>
            </w:r>
          </w:p>
        </w:tc>
      </w:tr>
      <w:tr w:rsidR="00D16C44" w:rsidRPr="00D16C44" w14:paraId="727B0036" w14:textId="77777777" w:rsidTr="00D16C44">
        <w:trPr>
          <w:trHeight w:val="345"/>
        </w:trPr>
        <w:tc>
          <w:tcPr>
            <w:tcW w:w="1084" w:type="dxa"/>
            <w:tcBorders>
              <w:top w:val="nil"/>
              <w:left w:val="nil"/>
              <w:bottom w:val="nil"/>
              <w:right w:val="nil"/>
            </w:tcBorders>
            <w:shd w:val="clear" w:color="auto" w:fill="auto"/>
            <w:noWrap/>
            <w:vAlign w:val="bottom"/>
            <w:hideMark/>
          </w:tcPr>
          <w:p w14:paraId="076EC453"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p</w:t>
            </w:r>
            <w:r w:rsidRPr="00D16C44">
              <w:rPr>
                <w:rFonts w:ascii="Calibri" w:eastAsia="Times New Roman" w:hAnsi="Calibri" w:cs="Calibri"/>
                <w:color w:val="000000"/>
                <w:vertAlign w:val="superscript"/>
              </w:rPr>
              <w:t>*</w:t>
            </w:r>
          </w:p>
        </w:tc>
        <w:tc>
          <w:tcPr>
            <w:tcW w:w="1207" w:type="dxa"/>
            <w:tcBorders>
              <w:top w:val="nil"/>
              <w:left w:val="nil"/>
              <w:bottom w:val="nil"/>
              <w:right w:val="nil"/>
            </w:tcBorders>
            <w:shd w:val="clear" w:color="auto" w:fill="auto"/>
            <w:noWrap/>
            <w:vAlign w:val="bottom"/>
            <w:hideMark/>
          </w:tcPr>
          <w:p w14:paraId="3F6E541B" w14:textId="77777777" w:rsidR="00D16C44" w:rsidRPr="00D16C44" w:rsidRDefault="00D16C44" w:rsidP="00D16C44">
            <w:pPr>
              <w:spacing w:after="0" w:line="240" w:lineRule="auto"/>
              <w:jc w:val="right"/>
              <w:rPr>
                <w:rFonts w:ascii="Calibri" w:eastAsia="Times New Roman" w:hAnsi="Calibri" w:cs="Calibri"/>
                <w:color w:val="000000"/>
              </w:rPr>
            </w:pPr>
            <w:r w:rsidRPr="00D16C44">
              <w:rPr>
                <w:rFonts w:ascii="Calibri" w:eastAsia="Times New Roman" w:hAnsi="Calibri" w:cs="Calibri"/>
                <w:color w:val="000000"/>
              </w:rPr>
              <w:t>0.70422535</w:t>
            </w:r>
          </w:p>
        </w:tc>
        <w:tc>
          <w:tcPr>
            <w:tcW w:w="1549" w:type="dxa"/>
            <w:tcBorders>
              <w:top w:val="nil"/>
              <w:left w:val="nil"/>
              <w:bottom w:val="nil"/>
              <w:right w:val="nil"/>
            </w:tcBorders>
            <w:shd w:val="clear" w:color="auto" w:fill="auto"/>
            <w:noWrap/>
            <w:vAlign w:val="bottom"/>
            <w:hideMark/>
          </w:tcPr>
          <w:p w14:paraId="069D733E" w14:textId="599BB4B2"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L-specialization</w:t>
            </w:r>
          </w:p>
        </w:tc>
        <w:tc>
          <w:tcPr>
            <w:tcW w:w="1200" w:type="dxa"/>
            <w:tcBorders>
              <w:top w:val="nil"/>
              <w:left w:val="nil"/>
              <w:bottom w:val="nil"/>
              <w:right w:val="nil"/>
            </w:tcBorders>
            <w:shd w:val="clear" w:color="auto" w:fill="auto"/>
            <w:noWrap/>
            <w:vAlign w:val="bottom"/>
            <w:hideMark/>
          </w:tcPr>
          <w:p w14:paraId="615AC66C" w14:textId="6A018BAD" w:rsidR="00D16C44" w:rsidRPr="00D16C44" w:rsidRDefault="00D16C44" w:rsidP="00D16C4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D16C44">
              <w:rPr>
                <w:rFonts w:ascii="Calibri" w:eastAsia="Times New Roman" w:hAnsi="Calibri" w:cs="Calibri"/>
                <w:color w:val="000000"/>
              </w:rPr>
              <w:t>=1/1.42</w:t>
            </w:r>
          </w:p>
        </w:tc>
      </w:tr>
      <w:tr w:rsidR="00D16C44" w:rsidRPr="00D16C44" w14:paraId="5790F212" w14:textId="77777777" w:rsidTr="00D16C44">
        <w:trPr>
          <w:trHeight w:val="360"/>
        </w:trPr>
        <w:tc>
          <w:tcPr>
            <w:tcW w:w="1084" w:type="dxa"/>
            <w:tcBorders>
              <w:top w:val="nil"/>
              <w:left w:val="nil"/>
              <w:bottom w:val="nil"/>
              <w:right w:val="nil"/>
            </w:tcBorders>
            <w:shd w:val="clear" w:color="auto" w:fill="auto"/>
            <w:noWrap/>
            <w:vAlign w:val="bottom"/>
            <w:hideMark/>
          </w:tcPr>
          <w:p w14:paraId="73C415CB"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δ</w:t>
            </w:r>
            <w:r w:rsidRPr="00D16C44">
              <w:rPr>
                <w:rFonts w:ascii="Calibri" w:eastAsia="Times New Roman" w:hAnsi="Calibri" w:cs="Calibri"/>
                <w:color w:val="000000"/>
                <w:vertAlign w:val="subscript"/>
              </w:rPr>
              <w:t>trade</w:t>
            </w:r>
          </w:p>
        </w:tc>
        <w:tc>
          <w:tcPr>
            <w:tcW w:w="1207" w:type="dxa"/>
            <w:tcBorders>
              <w:top w:val="nil"/>
              <w:left w:val="nil"/>
              <w:bottom w:val="nil"/>
              <w:right w:val="nil"/>
            </w:tcBorders>
            <w:shd w:val="clear" w:color="auto" w:fill="auto"/>
            <w:noWrap/>
            <w:vAlign w:val="bottom"/>
            <w:hideMark/>
          </w:tcPr>
          <w:p w14:paraId="44850874" w14:textId="77777777" w:rsidR="00D16C44" w:rsidRPr="00D16C44" w:rsidRDefault="00D16C44" w:rsidP="00D16C44">
            <w:pPr>
              <w:spacing w:after="0" w:line="240" w:lineRule="auto"/>
              <w:jc w:val="right"/>
              <w:rPr>
                <w:rFonts w:ascii="Calibri" w:eastAsia="Times New Roman" w:hAnsi="Calibri" w:cs="Calibri"/>
                <w:color w:val="000000"/>
              </w:rPr>
            </w:pPr>
            <w:r w:rsidRPr="00D16C44">
              <w:rPr>
                <w:rFonts w:ascii="Calibri" w:eastAsia="Times New Roman" w:hAnsi="Calibri" w:cs="Calibri"/>
                <w:color w:val="000000"/>
              </w:rPr>
              <w:t>0–9%</w:t>
            </w:r>
          </w:p>
        </w:tc>
        <w:tc>
          <w:tcPr>
            <w:tcW w:w="1549" w:type="dxa"/>
            <w:tcBorders>
              <w:top w:val="nil"/>
              <w:left w:val="nil"/>
              <w:bottom w:val="nil"/>
              <w:right w:val="nil"/>
            </w:tcBorders>
            <w:shd w:val="clear" w:color="auto" w:fill="auto"/>
            <w:noWrap/>
            <w:vAlign w:val="bottom"/>
            <w:hideMark/>
          </w:tcPr>
          <w:p w14:paraId="3EA21FC9" w14:textId="77777777" w:rsidR="00D16C44" w:rsidRPr="00D16C44" w:rsidRDefault="00D16C44" w:rsidP="00D16C44">
            <w:pPr>
              <w:spacing w:after="0" w:line="240" w:lineRule="auto"/>
              <w:jc w:val="right"/>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6CAA2D18" w14:textId="77777777" w:rsidR="00D16C44" w:rsidRPr="00D16C44" w:rsidRDefault="00D16C44" w:rsidP="00D16C44">
            <w:pPr>
              <w:spacing w:after="0" w:line="240" w:lineRule="auto"/>
              <w:rPr>
                <w:rFonts w:ascii="Times New Roman" w:eastAsia="Times New Roman" w:hAnsi="Times New Roman" w:cs="Times New Roman"/>
                <w:sz w:val="20"/>
                <w:szCs w:val="20"/>
              </w:rPr>
            </w:pPr>
          </w:p>
        </w:tc>
      </w:tr>
      <w:tr w:rsidR="00D16C44" w:rsidRPr="00D16C44" w14:paraId="33655F82" w14:textId="77777777" w:rsidTr="00D16C44">
        <w:trPr>
          <w:trHeight w:val="300"/>
        </w:trPr>
        <w:tc>
          <w:tcPr>
            <w:tcW w:w="3840" w:type="dxa"/>
            <w:gridSpan w:val="3"/>
            <w:tcBorders>
              <w:top w:val="nil"/>
              <w:left w:val="nil"/>
              <w:bottom w:val="nil"/>
              <w:right w:val="nil"/>
            </w:tcBorders>
            <w:shd w:val="clear" w:color="000000" w:fill="B4C6E7"/>
            <w:noWrap/>
            <w:vAlign w:val="bottom"/>
            <w:hideMark/>
          </w:tcPr>
          <w:p w14:paraId="6EA37C38" w14:textId="77777777" w:rsidR="00D16C44" w:rsidRPr="00D16C44" w:rsidRDefault="00D16C44" w:rsidP="00D16C44">
            <w:pPr>
              <w:spacing w:after="0" w:line="240" w:lineRule="auto"/>
              <w:jc w:val="center"/>
              <w:rPr>
                <w:rFonts w:ascii="Calibri" w:eastAsia="Times New Roman" w:hAnsi="Calibri" w:cs="Calibri"/>
                <w:b/>
                <w:bCs/>
                <w:color w:val="000000"/>
              </w:rPr>
            </w:pPr>
            <w:r w:rsidRPr="00D16C44">
              <w:rPr>
                <w:rFonts w:ascii="Calibri" w:eastAsia="Times New Roman" w:hAnsi="Calibri" w:cs="Calibri"/>
                <w:b/>
                <w:bCs/>
                <w:color w:val="000000"/>
              </w:rPr>
              <w:t>Financial liberalization</w:t>
            </w:r>
          </w:p>
        </w:tc>
        <w:tc>
          <w:tcPr>
            <w:tcW w:w="1200" w:type="dxa"/>
            <w:tcBorders>
              <w:top w:val="nil"/>
              <w:left w:val="nil"/>
              <w:bottom w:val="nil"/>
              <w:right w:val="nil"/>
            </w:tcBorders>
            <w:shd w:val="clear" w:color="auto" w:fill="auto"/>
            <w:noWrap/>
            <w:vAlign w:val="bottom"/>
            <w:hideMark/>
          </w:tcPr>
          <w:p w14:paraId="10E16ED3" w14:textId="77777777" w:rsidR="00D16C44" w:rsidRPr="00D16C44" w:rsidRDefault="00D16C44" w:rsidP="00D16C44">
            <w:pPr>
              <w:spacing w:after="0" w:line="240" w:lineRule="auto"/>
              <w:jc w:val="center"/>
              <w:rPr>
                <w:rFonts w:ascii="Calibri" w:eastAsia="Times New Roman" w:hAnsi="Calibri" w:cs="Calibri"/>
                <w:b/>
                <w:bCs/>
                <w:color w:val="000000"/>
              </w:rPr>
            </w:pPr>
          </w:p>
        </w:tc>
      </w:tr>
      <w:tr w:rsidR="00D16C44" w:rsidRPr="00D16C44" w14:paraId="77278270" w14:textId="77777777" w:rsidTr="00D16C44">
        <w:trPr>
          <w:trHeight w:val="345"/>
        </w:trPr>
        <w:tc>
          <w:tcPr>
            <w:tcW w:w="1084" w:type="dxa"/>
            <w:tcBorders>
              <w:top w:val="nil"/>
              <w:left w:val="nil"/>
              <w:bottom w:val="nil"/>
              <w:right w:val="nil"/>
            </w:tcBorders>
            <w:shd w:val="clear" w:color="auto" w:fill="auto"/>
            <w:noWrap/>
            <w:vAlign w:val="bottom"/>
            <w:hideMark/>
          </w:tcPr>
          <w:p w14:paraId="530DC34F"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R</w:t>
            </w:r>
            <w:r w:rsidRPr="00D16C44">
              <w:rPr>
                <w:rFonts w:ascii="Calibri" w:eastAsia="Times New Roman" w:hAnsi="Calibri" w:cs="Calibri"/>
                <w:color w:val="000000"/>
                <w:vertAlign w:val="superscript"/>
              </w:rPr>
              <w:t>*</w:t>
            </w:r>
          </w:p>
        </w:tc>
        <w:tc>
          <w:tcPr>
            <w:tcW w:w="1207" w:type="dxa"/>
            <w:tcBorders>
              <w:top w:val="nil"/>
              <w:left w:val="nil"/>
              <w:bottom w:val="nil"/>
              <w:right w:val="nil"/>
            </w:tcBorders>
            <w:shd w:val="clear" w:color="auto" w:fill="auto"/>
            <w:noWrap/>
            <w:vAlign w:val="bottom"/>
            <w:hideMark/>
          </w:tcPr>
          <w:p w14:paraId="520A99AC" w14:textId="77777777" w:rsidR="00D16C44" w:rsidRPr="00D16C44" w:rsidRDefault="00D16C44" w:rsidP="00D16C44">
            <w:pPr>
              <w:spacing w:after="0" w:line="240" w:lineRule="auto"/>
              <w:jc w:val="right"/>
              <w:rPr>
                <w:rFonts w:ascii="Calibri" w:eastAsia="Times New Roman" w:hAnsi="Calibri" w:cs="Calibri"/>
                <w:color w:val="000000"/>
              </w:rPr>
            </w:pPr>
            <w:r w:rsidRPr="00D16C44">
              <w:rPr>
                <w:rFonts w:ascii="Calibri" w:eastAsia="Times New Roman" w:hAnsi="Calibri" w:cs="Calibri"/>
                <w:color w:val="000000"/>
              </w:rPr>
              <w:t>3.5</w:t>
            </w:r>
          </w:p>
        </w:tc>
        <w:tc>
          <w:tcPr>
            <w:tcW w:w="1549" w:type="dxa"/>
            <w:tcBorders>
              <w:top w:val="nil"/>
              <w:left w:val="nil"/>
              <w:bottom w:val="nil"/>
              <w:right w:val="nil"/>
            </w:tcBorders>
            <w:shd w:val="clear" w:color="auto" w:fill="auto"/>
            <w:noWrap/>
            <w:vAlign w:val="bottom"/>
            <w:hideMark/>
          </w:tcPr>
          <w:p w14:paraId="7BB62B81"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K-export</w:t>
            </w:r>
          </w:p>
        </w:tc>
        <w:tc>
          <w:tcPr>
            <w:tcW w:w="1200" w:type="dxa"/>
            <w:tcBorders>
              <w:top w:val="nil"/>
              <w:left w:val="nil"/>
              <w:bottom w:val="nil"/>
              <w:right w:val="nil"/>
            </w:tcBorders>
            <w:shd w:val="clear" w:color="auto" w:fill="auto"/>
            <w:noWrap/>
            <w:vAlign w:val="bottom"/>
            <w:hideMark/>
          </w:tcPr>
          <w:p w14:paraId="16AFF3C5" w14:textId="77777777" w:rsidR="00D16C44" w:rsidRPr="00D16C44" w:rsidRDefault="00D16C44" w:rsidP="00D16C44">
            <w:pPr>
              <w:spacing w:after="0" w:line="240" w:lineRule="auto"/>
              <w:rPr>
                <w:rFonts w:ascii="Calibri" w:eastAsia="Times New Roman" w:hAnsi="Calibri" w:cs="Calibri"/>
                <w:color w:val="000000"/>
              </w:rPr>
            </w:pPr>
          </w:p>
        </w:tc>
      </w:tr>
      <w:tr w:rsidR="00D16C44" w:rsidRPr="00D16C44" w14:paraId="14D090AE" w14:textId="77777777" w:rsidTr="00D16C44">
        <w:trPr>
          <w:trHeight w:val="345"/>
        </w:trPr>
        <w:tc>
          <w:tcPr>
            <w:tcW w:w="1084" w:type="dxa"/>
            <w:tcBorders>
              <w:top w:val="nil"/>
              <w:left w:val="nil"/>
              <w:bottom w:val="nil"/>
              <w:right w:val="nil"/>
            </w:tcBorders>
            <w:shd w:val="clear" w:color="auto" w:fill="auto"/>
            <w:noWrap/>
            <w:vAlign w:val="bottom"/>
            <w:hideMark/>
          </w:tcPr>
          <w:p w14:paraId="41C3F388"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R</w:t>
            </w:r>
            <w:r w:rsidRPr="00D16C44">
              <w:rPr>
                <w:rFonts w:ascii="Calibri" w:eastAsia="Times New Roman" w:hAnsi="Calibri" w:cs="Calibri"/>
                <w:color w:val="000000"/>
                <w:vertAlign w:val="superscript"/>
              </w:rPr>
              <w:t>*</w:t>
            </w:r>
          </w:p>
        </w:tc>
        <w:tc>
          <w:tcPr>
            <w:tcW w:w="1207" w:type="dxa"/>
            <w:tcBorders>
              <w:top w:val="nil"/>
              <w:left w:val="nil"/>
              <w:bottom w:val="nil"/>
              <w:right w:val="nil"/>
            </w:tcBorders>
            <w:shd w:val="clear" w:color="auto" w:fill="auto"/>
            <w:noWrap/>
            <w:vAlign w:val="bottom"/>
            <w:hideMark/>
          </w:tcPr>
          <w:p w14:paraId="1562712A" w14:textId="77777777" w:rsidR="00D16C44" w:rsidRPr="00D16C44" w:rsidRDefault="00D16C44" w:rsidP="00D16C44">
            <w:pPr>
              <w:spacing w:after="0" w:line="240" w:lineRule="auto"/>
              <w:jc w:val="right"/>
              <w:rPr>
                <w:rFonts w:ascii="Calibri" w:eastAsia="Times New Roman" w:hAnsi="Calibri" w:cs="Calibri"/>
                <w:color w:val="000000"/>
              </w:rPr>
            </w:pPr>
            <w:r w:rsidRPr="00D16C44">
              <w:rPr>
                <w:rFonts w:ascii="Calibri" w:eastAsia="Times New Roman" w:hAnsi="Calibri" w:cs="Calibri"/>
                <w:color w:val="000000"/>
              </w:rPr>
              <w:t>3.02</w:t>
            </w:r>
          </w:p>
        </w:tc>
        <w:tc>
          <w:tcPr>
            <w:tcW w:w="1549" w:type="dxa"/>
            <w:tcBorders>
              <w:top w:val="nil"/>
              <w:left w:val="nil"/>
              <w:bottom w:val="nil"/>
              <w:right w:val="nil"/>
            </w:tcBorders>
            <w:shd w:val="clear" w:color="auto" w:fill="auto"/>
            <w:noWrap/>
            <w:vAlign w:val="bottom"/>
            <w:hideMark/>
          </w:tcPr>
          <w:p w14:paraId="7C9C1A0B"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K-import</w:t>
            </w:r>
          </w:p>
        </w:tc>
        <w:tc>
          <w:tcPr>
            <w:tcW w:w="1200" w:type="dxa"/>
            <w:tcBorders>
              <w:top w:val="nil"/>
              <w:left w:val="nil"/>
              <w:bottom w:val="nil"/>
              <w:right w:val="nil"/>
            </w:tcBorders>
            <w:shd w:val="clear" w:color="auto" w:fill="auto"/>
            <w:noWrap/>
            <w:vAlign w:val="bottom"/>
            <w:hideMark/>
          </w:tcPr>
          <w:p w14:paraId="0BA00445" w14:textId="77777777" w:rsidR="00D16C44" w:rsidRPr="00D16C44" w:rsidRDefault="00D16C44" w:rsidP="00D16C44">
            <w:pPr>
              <w:spacing w:after="0" w:line="240" w:lineRule="auto"/>
              <w:rPr>
                <w:rFonts w:ascii="Calibri" w:eastAsia="Times New Roman" w:hAnsi="Calibri" w:cs="Calibri"/>
                <w:color w:val="000000"/>
              </w:rPr>
            </w:pPr>
          </w:p>
        </w:tc>
      </w:tr>
      <w:tr w:rsidR="00D16C44" w:rsidRPr="00D16C44" w14:paraId="7D7A2EC9" w14:textId="77777777" w:rsidTr="00D16C44">
        <w:trPr>
          <w:trHeight w:val="360"/>
        </w:trPr>
        <w:tc>
          <w:tcPr>
            <w:tcW w:w="1084" w:type="dxa"/>
            <w:tcBorders>
              <w:top w:val="nil"/>
              <w:left w:val="nil"/>
              <w:bottom w:val="nil"/>
              <w:right w:val="nil"/>
            </w:tcBorders>
            <w:shd w:val="clear" w:color="auto" w:fill="auto"/>
            <w:noWrap/>
            <w:vAlign w:val="bottom"/>
            <w:hideMark/>
          </w:tcPr>
          <w:p w14:paraId="204B0CE0" w14:textId="77777777" w:rsidR="00D16C44" w:rsidRPr="00D16C44" w:rsidRDefault="00D16C44" w:rsidP="00D16C44">
            <w:pPr>
              <w:spacing w:after="0" w:line="240" w:lineRule="auto"/>
              <w:rPr>
                <w:rFonts w:ascii="Calibri" w:eastAsia="Times New Roman" w:hAnsi="Calibri" w:cs="Calibri"/>
                <w:color w:val="000000"/>
              </w:rPr>
            </w:pPr>
            <w:r w:rsidRPr="00D16C44">
              <w:rPr>
                <w:rFonts w:ascii="Calibri" w:eastAsia="Times New Roman" w:hAnsi="Calibri" w:cs="Calibri"/>
                <w:color w:val="000000"/>
              </w:rPr>
              <w:t>δ</w:t>
            </w:r>
            <w:r w:rsidRPr="00D16C44">
              <w:rPr>
                <w:rFonts w:ascii="Calibri" w:eastAsia="Times New Roman" w:hAnsi="Calibri" w:cs="Calibri"/>
                <w:color w:val="000000"/>
                <w:vertAlign w:val="subscript"/>
              </w:rPr>
              <w:t>financial</w:t>
            </w:r>
          </w:p>
        </w:tc>
        <w:tc>
          <w:tcPr>
            <w:tcW w:w="1207" w:type="dxa"/>
            <w:tcBorders>
              <w:top w:val="nil"/>
              <w:left w:val="nil"/>
              <w:bottom w:val="nil"/>
              <w:right w:val="nil"/>
            </w:tcBorders>
            <w:shd w:val="clear" w:color="auto" w:fill="auto"/>
            <w:noWrap/>
            <w:vAlign w:val="bottom"/>
            <w:hideMark/>
          </w:tcPr>
          <w:p w14:paraId="7A39A08C" w14:textId="77777777" w:rsidR="00D16C44" w:rsidRPr="00D16C44" w:rsidRDefault="00D16C44" w:rsidP="00D16C44">
            <w:pPr>
              <w:spacing w:after="0" w:line="240" w:lineRule="auto"/>
              <w:jc w:val="right"/>
              <w:rPr>
                <w:rFonts w:ascii="Calibri" w:eastAsia="Times New Roman" w:hAnsi="Calibri" w:cs="Calibri"/>
                <w:color w:val="000000"/>
              </w:rPr>
            </w:pPr>
            <w:r w:rsidRPr="00D16C44">
              <w:rPr>
                <w:rFonts w:ascii="Calibri" w:eastAsia="Times New Roman" w:hAnsi="Calibri" w:cs="Calibri"/>
                <w:color w:val="000000"/>
              </w:rPr>
              <w:t>0–9%</w:t>
            </w:r>
          </w:p>
        </w:tc>
        <w:tc>
          <w:tcPr>
            <w:tcW w:w="1549" w:type="dxa"/>
            <w:tcBorders>
              <w:top w:val="nil"/>
              <w:left w:val="nil"/>
              <w:bottom w:val="nil"/>
              <w:right w:val="nil"/>
            </w:tcBorders>
            <w:shd w:val="clear" w:color="auto" w:fill="auto"/>
            <w:noWrap/>
            <w:vAlign w:val="bottom"/>
            <w:hideMark/>
          </w:tcPr>
          <w:p w14:paraId="0FD11D63" w14:textId="77777777" w:rsidR="00D16C44" w:rsidRPr="00D16C44" w:rsidRDefault="00D16C44" w:rsidP="00D16C44">
            <w:pPr>
              <w:spacing w:after="0" w:line="240" w:lineRule="auto"/>
              <w:jc w:val="right"/>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646122A0" w14:textId="77777777" w:rsidR="00D16C44" w:rsidRPr="00D16C44" w:rsidRDefault="00D16C44" w:rsidP="00D16C44">
            <w:pPr>
              <w:spacing w:after="0" w:line="240" w:lineRule="auto"/>
              <w:rPr>
                <w:rFonts w:ascii="Times New Roman" w:eastAsia="Times New Roman" w:hAnsi="Times New Roman" w:cs="Times New Roman"/>
                <w:sz w:val="20"/>
                <w:szCs w:val="20"/>
              </w:rPr>
            </w:pPr>
          </w:p>
        </w:tc>
      </w:tr>
    </w:tbl>
    <w:p w14:paraId="7A800A5A" w14:textId="77777777" w:rsidR="00841BB6" w:rsidRDefault="00841BB6" w:rsidP="00841BB6"/>
    <w:p w14:paraId="5EBD2EE7" w14:textId="77777777" w:rsidR="00841BB6" w:rsidRPr="00841BB6" w:rsidRDefault="00841BB6" w:rsidP="00F06189">
      <w:pPr>
        <w:pStyle w:val="10"/>
        <w:rPr>
          <w:lang w:val="en-US"/>
        </w:rPr>
      </w:pPr>
    </w:p>
    <w:p w14:paraId="4BAE0CF5" w14:textId="77777777" w:rsidR="00841BB6" w:rsidRDefault="00841BB6" w:rsidP="00F06189">
      <w:pPr>
        <w:pStyle w:val="10"/>
        <w:rPr>
          <w:b/>
          <w:bCs/>
          <w:lang w:val="en-US"/>
        </w:rPr>
      </w:pPr>
    </w:p>
    <w:p w14:paraId="7DF2ED2F" w14:textId="77777777" w:rsidR="00F06189" w:rsidRPr="009960CD" w:rsidRDefault="00F06189" w:rsidP="00F06189">
      <w:pPr>
        <w:pStyle w:val="10"/>
        <w:rPr>
          <w:b/>
          <w:bCs/>
          <w:lang w:val="en-US"/>
        </w:rPr>
      </w:pPr>
      <w:r w:rsidRPr="009960CD">
        <w:rPr>
          <w:b/>
          <w:bCs/>
          <w:lang w:val="en-US"/>
        </w:rPr>
        <w:t>References</w:t>
      </w:r>
    </w:p>
    <w:p w14:paraId="7F24B241" w14:textId="77777777" w:rsidR="001451EE" w:rsidRDefault="00514225" w:rsidP="00514225">
      <w:pPr>
        <w:rPr>
          <w:rFonts w:ascii="ff-more-web-pro" w:hAnsi="ff-more-web-pro"/>
          <w:color w:val="353C3F"/>
          <w:lang w:val="en"/>
        </w:rPr>
      </w:pPr>
      <w:r w:rsidRPr="00C82996">
        <w:rPr>
          <w:rFonts w:ascii="ff-more-web-pro" w:hAnsi="ff-more-web-pro"/>
          <w:color w:val="353C3F"/>
          <w:lang w:val="en"/>
        </w:rPr>
        <w:t>Anderson</w:t>
      </w:r>
      <w:r w:rsidR="002C1B21" w:rsidRPr="00E54490">
        <w:rPr>
          <w:rFonts w:ascii="ff-more-web-pro" w:hAnsi="ff-more-web-pro"/>
          <w:color w:val="353C3F"/>
          <w:lang w:val="en"/>
        </w:rPr>
        <w:t xml:space="preserve">, </w:t>
      </w:r>
      <w:r w:rsidR="002C1B21" w:rsidRPr="00C82996">
        <w:rPr>
          <w:rFonts w:ascii="ff-more-web-pro" w:hAnsi="ff-more-web-pro"/>
          <w:color w:val="353C3F"/>
          <w:lang w:val="en"/>
        </w:rPr>
        <w:t>James</w:t>
      </w:r>
      <w:r w:rsidRPr="00C82996">
        <w:rPr>
          <w:rFonts w:ascii="ff-more-web-pro" w:hAnsi="ff-more-web-pro"/>
          <w:color w:val="353C3F"/>
          <w:lang w:val="en"/>
        </w:rPr>
        <w:t xml:space="preserve"> E</w:t>
      </w:r>
      <w:r w:rsidRPr="00E54490">
        <w:rPr>
          <w:rFonts w:ascii="ff-more-web-pro" w:hAnsi="ff-more-web-pro"/>
          <w:color w:val="353C3F"/>
          <w:lang w:val="en"/>
        </w:rPr>
        <w:t xml:space="preserve">., and </w:t>
      </w:r>
      <w:r w:rsidRPr="00C82996">
        <w:rPr>
          <w:rFonts w:ascii="ff-more-web-pro" w:hAnsi="ff-more-web-pro"/>
          <w:color w:val="353C3F"/>
          <w:lang w:val="en"/>
        </w:rPr>
        <w:t xml:space="preserve">Eric van </w:t>
      </w:r>
      <w:r w:rsidR="002C1B21" w:rsidRPr="00C82996">
        <w:rPr>
          <w:rFonts w:ascii="ff-more-web-pro" w:hAnsi="ff-more-web-pro"/>
          <w:color w:val="353C3F"/>
          <w:lang w:val="en"/>
        </w:rPr>
        <w:t>Win coop</w:t>
      </w:r>
      <w:r w:rsidRPr="00C82996">
        <w:rPr>
          <w:rFonts w:ascii="ff-more-web-pro" w:hAnsi="ff-more-web-pro"/>
          <w:color w:val="353C3F"/>
          <w:lang w:val="en"/>
        </w:rPr>
        <w:t xml:space="preserve"> </w:t>
      </w:r>
      <w:r w:rsidRPr="00E54490">
        <w:rPr>
          <w:rFonts w:ascii="ff-more-web-pro" w:hAnsi="ff-more-web-pro"/>
          <w:color w:val="353C3F"/>
          <w:lang w:val="en"/>
        </w:rPr>
        <w:t>(2003), “Gravity with Gravitas: A Solution to the Border</w:t>
      </w:r>
    </w:p>
    <w:p w14:paraId="74A0E866" w14:textId="3DD76485" w:rsidR="00514225" w:rsidRDefault="00514225" w:rsidP="00514225">
      <w:pPr>
        <w:rPr>
          <w:rFonts w:ascii="ff-more-web-pro" w:hAnsi="ff-more-web-pro"/>
          <w:color w:val="353C3F"/>
          <w:lang w:val="en"/>
        </w:rPr>
      </w:pPr>
      <w:r w:rsidRPr="00E54490">
        <w:rPr>
          <w:rFonts w:ascii="ff-more-web-pro" w:hAnsi="ff-more-web-pro"/>
          <w:color w:val="353C3F"/>
          <w:lang w:val="en"/>
        </w:rPr>
        <w:t xml:space="preserve"> Puzzle,” </w:t>
      </w:r>
      <w:r>
        <w:rPr>
          <w:rFonts w:ascii="ff-more-web-pro" w:hAnsi="ff-more-web-pro"/>
          <w:color w:val="353C3F"/>
          <w:lang w:val="en"/>
        </w:rPr>
        <w:t>American Economic Review, vol. 93, no. 1 pp. 170-92.</w:t>
      </w:r>
    </w:p>
    <w:p w14:paraId="223C734C" w14:textId="77777777" w:rsidR="001451EE" w:rsidRPr="00970FB1" w:rsidRDefault="001451EE" w:rsidP="001451EE">
      <w:pPr>
        <w:pStyle w:val="10"/>
        <w:spacing w:line="276" w:lineRule="auto"/>
        <w:rPr>
          <w:rFonts w:ascii="dcr10" w:hAnsi="dcr10" w:cs="dcr10"/>
        </w:rPr>
      </w:pPr>
      <w:r w:rsidRPr="00970FB1">
        <w:rPr>
          <w:rFonts w:ascii="dcr10" w:hAnsi="dcr10" w:cs="dcr10"/>
        </w:rPr>
        <w:t>Besley, Tim, Rachel Griffith and Alexander Klemm (2001). “Empirical Evidence</w:t>
      </w:r>
    </w:p>
    <w:p w14:paraId="041FF07C" w14:textId="77777777" w:rsidR="001451EE" w:rsidRPr="00970FB1" w:rsidRDefault="001451EE" w:rsidP="001451EE">
      <w:pPr>
        <w:pStyle w:val="10"/>
        <w:spacing w:line="276" w:lineRule="auto"/>
        <w:rPr>
          <w:rFonts w:ascii="dcr10" w:hAnsi="dcr10" w:cs="dcr10"/>
        </w:rPr>
      </w:pPr>
      <w:r>
        <w:rPr>
          <w:rFonts w:ascii="dcr10" w:hAnsi="dcr10" w:cs="dcr10"/>
        </w:rPr>
        <w:t xml:space="preserve">     </w:t>
      </w:r>
      <w:r w:rsidRPr="00970FB1">
        <w:rPr>
          <w:rFonts w:ascii="dcr10" w:hAnsi="dcr10" w:cs="dcr10"/>
        </w:rPr>
        <w:t xml:space="preserve"> on Fiscal Interdependence in OECD Countries." Institute for Fiscal</w:t>
      </w:r>
      <w:r>
        <w:rPr>
          <w:rFonts w:ascii="dcr10" w:hAnsi="dcr10" w:cs="dcr10"/>
        </w:rPr>
        <w:t xml:space="preserve"> Studies.</w:t>
      </w:r>
    </w:p>
    <w:p w14:paraId="0B38145E" w14:textId="77777777" w:rsidR="001451EE" w:rsidRDefault="001451EE" w:rsidP="00514225">
      <w:pPr>
        <w:rPr>
          <w:rFonts w:ascii="ff-more-web-pro" w:hAnsi="ff-more-web-pro"/>
          <w:color w:val="353C3F"/>
          <w:lang w:val="en"/>
        </w:rPr>
      </w:pPr>
    </w:p>
    <w:p w14:paraId="5C009048" w14:textId="77777777" w:rsidR="00514225" w:rsidRDefault="00514225" w:rsidP="00514225">
      <w:pPr>
        <w:rPr>
          <w:rFonts w:ascii="ff-more-web-pro" w:hAnsi="ff-more-web-pro"/>
          <w:color w:val="353C3F"/>
          <w:lang w:val="en"/>
        </w:rPr>
      </w:pPr>
    </w:p>
    <w:p w14:paraId="0E34B2DC" w14:textId="77777777" w:rsidR="00514225" w:rsidRPr="00E54490" w:rsidRDefault="00514225" w:rsidP="00514225">
      <w:pPr>
        <w:spacing w:line="259" w:lineRule="auto"/>
        <w:rPr>
          <w:rFonts w:ascii="NexusSans" w:hAnsi="NexusSans" w:cs="Arial"/>
          <w:color w:val="505050"/>
          <w:lang w:val="en"/>
        </w:rPr>
      </w:pPr>
    </w:p>
    <w:p w14:paraId="275E16E7" w14:textId="77777777" w:rsidR="00227426" w:rsidRPr="009960CD" w:rsidRDefault="00227426" w:rsidP="00227426">
      <w:pPr>
        <w:pStyle w:val="10"/>
        <w:spacing w:line="276" w:lineRule="auto"/>
        <w:rPr>
          <w:lang w:val="en-US"/>
        </w:rPr>
      </w:pPr>
      <w:r w:rsidRPr="009960CD">
        <w:rPr>
          <w:rFonts w:ascii="dcr10" w:hAnsi="dcr10" w:cs="dcr10"/>
          <w:lang w:val="en-US"/>
        </w:rPr>
        <w:t>Caminada, Koen, Kees Goudswaard, and Olaf Van Vliet,</w:t>
      </w:r>
      <w:r w:rsidRPr="009960CD">
        <w:rPr>
          <w:rFonts w:ascii="Arial" w:hAnsi="Arial" w:cs="Arial"/>
          <w:color w:val="8B8B8B"/>
          <w:sz w:val="21"/>
          <w:szCs w:val="21"/>
          <w:lang w:val="en-US"/>
        </w:rPr>
        <w:t xml:space="preserve"> (2010), “</w:t>
      </w:r>
      <w:r w:rsidRPr="009960CD">
        <w:rPr>
          <w:lang w:val="en-US"/>
        </w:rPr>
        <w:t>Patterns of Welfare State</w:t>
      </w:r>
    </w:p>
    <w:p w14:paraId="5FA1638C" w14:textId="77777777" w:rsidR="00227426" w:rsidRPr="009960CD" w:rsidRDefault="00227426" w:rsidP="00227426">
      <w:pPr>
        <w:pStyle w:val="10"/>
        <w:spacing w:line="276" w:lineRule="auto"/>
        <w:rPr>
          <w:lang w:val="en-US"/>
        </w:rPr>
      </w:pPr>
      <w:r w:rsidRPr="009960CD">
        <w:rPr>
          <w:lang w:val="en-US"/>
        </w:rPr>
        <w:t xml:space="preserve">        Indicators in the EU: Is there Convergence?” </w:t>
      </w:r>
      <w:r w:rsidRPr="009960CD">
        <w:rPr>
          <w:u w:val="single"/>
          <w:lang w:val="en-US"/>
        </w:rPr>
        <w:t>Journal of Common Market Studies,</w:t>
      </w:r>
      <w:r w:rsidRPr="009960CD">
        <w:rPr>
          <w:lang w:val="en-US"/>
        </w:rPr>
        <w:t xml:space="preserve"> Volume </w:t>
      </w:r>
    </w:p>
    <w:p w14:paraId="4D74E493" w14:textId="39BE619C" w:rsidR="00227426" w:rsidRPr="00514225" w:rsidRDefault="00227426" w:rsidP="00227426">
      <w:pPr>
        <w:pStyle w:val="10"/>
        <w:spacing w:line="276" w:lineRule="auto"/>
        <w:rPr>
          <w:rFonts w:ascii="dcr10" w:hAnsi="dcr10" w:cs="dcr10"/>
          <w:lang w:val="en-US"/>
        </w:rPr>
      </w:pPr>
      <w:r w:rsidRPr="00514225">
        <w:rPr>
          <w:rFonts w:ascii="dcr10" w:hAnsi="dcr10" w:cs="dcr10"/>
          <w:lang w:val="en-US"/>
        </w:rPr>
        <w:t xml:space="preserve">        </w:t>
      </w:r>
      <w:r w:rsidR="00514225">
        <w:rPr>
          <w:rFonts w:ascii="dcr10" w:hAnsi="dcr10" w:cs="dcr10"/>
          <w:lang w:val="en-US"/>
        </w:rPr>
        <w:t xml:space="preserve">48, Issue 3, </w:t>
      </w:r>
      <w:r w:rsidRPr="00514225">
        <w:rPr>
          <w:rFonts w:ascii="dcr10" w:hAnsi="dcr10" w:cs="dcr10"/>
          <w:lang w:val="en-US"/>
        </w:rPr>
        <w:t>June 2010, Pages 529-556.</w:t>
      </w:r>
    </w:p>
    <w:p w14:paraId="6C2D2E20" w14:textId="7924BB2D" w:rsidR="00514225" w:rsidRDefault="00514225" w:rsidP="00514225">
      <w:pPr>
        <w:pStyle w:val="10"/>
        <w:rPr>
          <w:rFonts w:ascii="dcr10" w:hAnsi="dcr10" w:cs="dcr10"/>
          <w:lang w:val="en-US"/>
        </w:rPr>
      </w:pPr>
      <w:r w:rsidRPr="00E54490">
        <w:rPr>
          <w:rFonts w:ascii="dcr10" w:hAnsi="dcr10" w:cs="dcr10"/>
          <w:lang w:val="en-US"/>
        </w:rPr>
        <w:t>Chen</w:t>
      </w:r>
      <w:r w:rsidRPr="00514225">
        <w:rPr>
          <w:rFonts w:ascii="dcr10" w:hAnsi="dcr10" w:cs="dcr10"/>
          <w:lang w:val="en-US"/>
        </w:rPr>
        <w:t xml:space="preserve">. </w:t>
      </w:r>
      <w:r w:rsidRPr="00E54490">
        <w:rPr>
          <w:rFonts w:ascii="dcr10" w:hAnsi="dcr10" w:cs="dcr10"/>
          <w:lang w:val="en-US"/>
        </w:rPr>
        <w:t xml:space="preserve"> Natalie</w:t>
      </w:r>
      <w:r w:rsidRPr="00514225">
        <w:rPr>
          <w:rFonts w:ascii="dcr10" w:hAnsi="dcr10" w:cs="dcr10"/>
          <w:lang w:val="en-US"/>
        </w:rPr>
        <w:t xml:space="preserve">, (2004), “Intra-national versus international trade in the European Union: why do national borders matter?,”   </w:t>
      </w:r>
      <w:hyperlink r:id="rId23" w:tooltip="Go to Journal of International Economics on ScienceDirect" w:history="1">
        <w:r w:rsidRPr="00E54490">
          <w:rPr>
            <w:rFonts w:ascii="dcr10" w:hAnsi="dcr10" w:cs="dcr10"/>
            <w:lang w:val="en-US"/>
          </w:rPr>
          <w:t>Journal of International Economics</w:t>
        </w:r>
      </w:hyperlink>
      <w:r w:rsidRPr="00514225">
        <w:rPr>
          <w:rFonts w:ascii="dcr10" w:hAnsi="dcr10" w:cs="dcr10"/>
          <w:lang w:val="en-US"/>
        </w:rPr>
        <w:t xml:space="preserve">, </w:t>
      </w:r>
      <w:hyperlink r:id="rId24" w:tooltip="Go to table of contents for this volume/issue" w:history="1">
        <w:r w:rsidRPr="00E54490">
          <w:rPr>
            <w:rFonts w:ascii="dcr10" w:hAnsi="dcr10" w:cs="dcr10"/>
            <w:lang w:val="en-US"/>
          </w:rPr>
          <w:t>Volume 63, Issue 1</w:t>
        </w:r>
      </w:hyperlink>
      <w:r w:rsidRPr="00E54490">
        <w:rPr>
          <w:rFonts w:ascii="dcr10" w:hAnsi="dcr10" w:cs="dcr10"/>
          <w:lang w:val="en-US"/>
        </w:rPr>
        <w:t>, May 2004, Pages 93-118</w:t>
      </w:r>
      <w:r w:rsidR="003B3AC5">
        <w:rPr>
          <w:rFonts w:ascii="dcr10" w:hAnsi="dcr10" w:cs="dcr10"/>
          <w:lang w:val="en-US"/>
        </w:rPr>
        <w:t>.</w:t>
      </w:r>
    </w:p>
    <w:p w14:paraId="386A8005" w14:textId="1C345A9D" w:rsidR="00227426" w:rsidRPr="009960CD" w:rsidRDefault="003B3AC5" w:rsidP="005442E4">
      <w:pPr>
        <w:pStyle w:val="10"/>
        <w:rPr>
          <w:lang w:val="en-US"/>
        </w:rPr>
      </w:pPr>
      <w:r w:rsidRPr="003B3AC5">
        <w:rPr>
          <w:rFonts w:ascii="dcr10" w:hAnsi="dcr10" w:cs="dcr10"/>
          <w:lang w:val="en-US"/>
        </w:rPr>
        <w:t xml:space="preserve">Chen, Natalie, and Dennis Novy (2011), “Gravity, trade integration, and heterogeneity across industries,” </w:t>
      </w:r>
      <w:hyperlink r:id="rId25" w:tooltip="Go to Journal of International Economics on ScienceDirect" w:history="1">
        <w:r w:rsidRPr="003B3AC5">
          <w:rPr>
            <w:rFonts w:ascii="dcr10" w:hAnsi="dcr10" w:cs="dcr10"/>
            <w:lang w:val="en-US"/>
          </w:rPr>
          <w:t>Journal of International Economics</w:t>
        </w:r>
      </w:hyperlink>
      <w:r>
        <w:rPr>
          <w:rFonts w:ascii="dcr10" w:hAnsi="dcr10" w:cs="dcr10"/>
          <w:lang w:val="en-US"/>
        </w:rPr>
        <w:t xml:space="preserve">, </w:t>
      </w:r>
      <w:hyperlink r:id="rId26" w:tooltip="Go to table of contents for this volume/issue" w:history="1">
        <w:r w:rsidRPr="003B3AC5">
          <w:rPr>
            <w:rFonts w:ascii="dcr10" w:hAnsi="dcr10" w:cs="dcr10"/>
            <w:lang w:val="en-US"/>
          </w:rPr>
          <w:t>Volume 85, Issue 2</w:t>
        </w:r>
      </w:hyperlink>
      <w:r w:rsidRPr="005D4A97">
        <w:rPr>
          <w:rFonts w:ascii="dcr10" w:hAnsi="dcr10" w:cs="dcr10"/>
          <w:lang w:val="en-US"/>
        </w:rPr>
        <w:t>, November 2011, Pages 206-221</w:t>
      </w:r>
      <w:r w:rsidRPr="003B3AC5">
        <w:rPr>
          <w:rFonts w:ascii="dcr10" w:hAnsi="dcr10" w:cs="dcr10"/>
          <w:lang w:val="en-US"/>
        </w:rPr>
        <w:t>.</w:t>
      </w:r>
    </w:p>
    <w:p w14:paraId="6B8219B6" w14:textId="58E0D9EB" w:rsidR="00F06189" w:rsidRDefault="00F06189" w:rsidP="003E6471">
      <w:pPr>
        <w:pStyle w:val="10"/>
        <w:rPr>
          <w:lang w:val="en-US"/>
        </w:rPr>
      </w:pPr>
      <w:r w:rsidRPr="009960CD">
        <w:rPr>
          <w:lang w:val="en-US"/>
        </w:rPr>
        <w:t>Diamond,  Peter A., and James A. Mirrlees (1971), “Optimal Taxation and Public Production I: Production Efficiency,” The American Economic Review Vol. 61, No. 1 (Ma</w:t>
      </w:r>
      <w:r w:rsidR="003E6471">
        <w:rPr>
          <w:lang w:val="en-US"/>
        </w:rPr>
        <w:t>rch</w:t>
      </w:r>
      <w:r w:rsidRPr="009960CD">
        <w:rPr>
          <w:lang w:val="en-US"/>
        </w:rPr>
        <w:t xml:space="preserve"> 1971), pp. 8-27.</w:t>
      </w:r>
    </w:p>
    <w:p w14:paraId="6362FE10" w14:textId="77777777" w:rsidR="001451EE" w:rsidRDefault="001451EE" w:rsidP="001451EE">
      <w:pPr>
        <w:pStyle w:val="10"/>
        <w:spacing w:line="276" w:lineRule="auto"/>
        <w:rPr>
          <w:rFonts w:ascii="dcr10" w:hAnsi="dcr10" w:cs="dcr10"/>
        </w:rPr>
      </w:pPr>
      <w:r w:rsidRPr="00970FB1">
        <w:rPr>
          <w:rFonts w:ascii="dcr10" w:hAnsi="dcr10" w:cs="dcr10"/>
        </w:rPr>
        <w:t xml:space="preserve">Devereux, Michael P., and Rachel Griffith (2002). “The Impact of Corporate </w:t>
      </w:r>
    </w:p>
    <w:p w14:paraId="67B99B9A" w14:textId="77777777" w:rsidR="001451EE" w:rsidRPr="00631E5E" w:rsidRDefault="001451EE" w:rsidP="001451EE">
      <w:pPr>
        <w:pStyle w:val="10"/>
        <w:spacing w:line="276" w:lineRule="auto"/>
        <w:rPr>
          <w:rFonts w:ascii="dcti10" w:hAnsi="dcti10" w:cs="dcti10"/>
          <w:u w:val="single"/>
        </w:rPr>
      </w:pPr>
      <w:r>
        <w:rPr>
          <w:rFonts w:ascii="dcr10" w:hAnsi="dcr10" w:cs="dcr10"/>
        </w:rPr>
        <w:t xml:space="preserve">     </w:t>
      </w:r>
      <w:r w:rsidRPr="00970FB1">
        <w:rPr>
          <w:rFonts w:ascii="dcr10" w:hAnsi="dcr10" w:cs="dcr10"/>
        </w:rPr>
        <w:t xml:space="preserve">Taxation on the Location of Capital: A Review." </w:t>
      </w:r>
      <w:r w:rsidRPr="00C735AF">
        <w:rPr>
          <w:rFonts w:ascii="dcti10" w:hAnsi="dcti10" w:cs="dcti10"/>
          <w:u w:val="single"/>
        </w:rPr>
        <w:t>Swedish Economic</w:t>
      </w:r>
      <w:r>
        <w:rPr>
          <w:rFonts w:ascii="dcti10" w:hAnsi="dcti10" w:cs="dcti10"/>
          <w:u w:val="single"/>
        </w:rPr>
        <w:t xml:space="preserve"> </w:t>
      </w:r>
      <w:r w:rsidRPr="00C735AF">
        <w:rPr>
          <w:rFonts w:ascii="dcti10" w:hAnsi="dcti10" w:cs="dcti10"/>
          <w:u w:val="single"/>
        </w:rPr>
        <w:t>Policy</w:t>
      </w:r>
      <w:r>
        <w:rPr>
          <w:rFonts w:ascii="dcti10" w:hAnsi="dcti10" w:cs="dcti10"/>
          <w:u w:val="single"/>
        </w:rPr>
        <w:t xml:space="preserve"> </w:t>
      </w:r>
      <w:r w:rsidRPr="00C735AF">
        <w:rPr>
          <w:rFonts w:ascii="dcti10" w:hAnsi="dcti10" w:cs="dcti10"/>
          <w:u w:val="single"/>
        </w:rPr>
        <w:t>Review</w:t>
      </w:r>
      <w:r w:rsidRPr="00C735AF">
        <w:rPr>
          <w:rFonts w:ascii="dcti10" w:hAnsi="dcti10" w:cs="dcti10"/>
        </w:rPr>
        <w:t>.</w:t>
      </w:r>
    </w:p>
    <w:p w14:paraId="56936372" w14:textId="77777777" w:rsidR="001451EE" w:rsidRDefault="001451EE" w:rsidP="001451EE">
      <w:pPr>
        <w:pStyle w:val="10"/>
        <w:spacing w:line="276" w:lineRule="auto"/>
        <w:rPr>
          <w:rFonts w:ascii="dcr10" w:hAnsi="dcr10" w:cs="dcr10"/>
        </w:rPr>
      </w:pPr>
      <w:r w:rsidRPr="00970FB1">
        <w:rPr>
          <w:rFonts w:ascii="dcr10" w:hAnsi="dcr10" w:cs="dcr10"/>
        </w:rPr>
        <w:t xml:space="preserve">Devereux, Michael P., and Rachel Griffith, and </w:t>
      </w:r>
      <w:hyperlink r:id="rId27" w:history="1">
        <w:r w:rsidRPr="00631E5E">
          <w:rPr>
            <w:rFonts w:ascii="dcr10" w:hAnsi="dcr10" w:cs="dcr10"/>
          </w:rPr>
          <w:t>Alexander Klemm</w:t>
        </w:r>
      </w:hyperlink>
      <w:r w:rsidRPr="00631E5E">
        <w:rPr>
          <w:rFonts w:ascii="dcr10" w:hAnsi="dcr10" w:cs="dcr10"/>
        </w:rPr>
        <w:t xml:space="preserve"> </w:t>
      </w:r>
      <w:r w:rsidRPr="00970FB1">
        <w:rPr>
          <w:rFonts w:ascii="dcr10" w:hAnsi="dcr10" w:cs="dcr10"/>
        </w:rPr>
        <w:t xml:space="preserve"> (2002), “   </w:t>
      </w:r>
      <w:r w:rsidRPr="00631E5E">
        <w:rPr>
          <w:rFonts w:ascii="dcr10" w:hAnsi="dcr10" w:cs="dcr10"/>
        </w:rPr>
        <w:t>Corporate</w:t>
      </w:r>
    </w:p>
    <w:p w14:paraId="6F5AF9F5" w14:textId="77777777" w:rsidR="001451EE" w:rsidRDefault="001451EE" w:rsidP="001451EE">
      <w:pPr>
        <w:pStyle w:val="10"/>
        <w:spacing w:line="276" w:lineRule="auto"/>
        <w:rPr>
          <w:rFonts w:ascii="dcr10" w:hAnsi="dcr10" w:cs="dcr10"/>
        </w:rPr>
      </w:pPr>
      <w:r w:rsidRPr="00631E5E">
        <w:rPr>
          <w:rFonts w:ascii="dcr10" w:hAnsi="dcr10" w:cs="dcr10"/>
        </w:rPr>
        <w:t xml:space="preserve"> </w:t>
      </w:r>
      <w:r>
        <w:rPr>
          <w:rFonts w:ascii="dcr10" w:hAnsi="dcr10" w:cs="dcr10"/>
        </w:rPr>
        <w:t xml:space="preserve">       </w:t>
      </w:r>
      <w:r w:rsidRPr="00631E5E">
        <w:rPr>
          <w:rFonts w:ascii="dcr10" w:hAnsi="dcr10" w:cs="dcr10"/>
        </w:rPr>
        <w:t xml:space="preserve">income tax reforms and international tax competition,” </w:t>
      </w:r>
      <w:r w:rsidRPr="00970FB1">
        <w:rPr>
          <w:rFonts w:ascii="dcr10" w:hAnsi="dcr10" w:cs="dcr10"/>
        </w:rPr>
        <w:t xml:space="preserve"> </w:t>
      </w:r>
      <w:r w:rsidRPr="00631E5E">
        <w:rPr>
          <w:rFonts w:ascii="dcr10" w:hAnsi="dcr10" w:cs="dcr10"/>
        </w:rPr>
        <w:t xml:space="preserve"> </w:t>
      </w:r>
      <w:r w:rsidRPr="00631E5E">
        <w:rPr>
          <w:rFonts w:ascii="dcr10" w:hAnsi="dcr10" w:cs="dcr10"/>
          <w:i/>
          <w:iCs/>
        </w:rPr>
        <w:t>Economic Policy</w:t>
      </w:r>
      <w:r w:rsidRPr="00631E5E">
        <w:rPr>
          <w:rFonts w:ascii="dcr10" w:hAnsi="dcr10" w:cs="dcr10"/>
        </w:rPr>
        <w:t>, Volume</w:t>
      </w:r>
    </w:p>
    <w:p w14:paraId="20AB36D3" w14:textId="718C3206" w:rsidR="001451EE" w:rsidRPr="001451EE" w:rsidRDefault="001451EE" w:rsidP="001C6DE5">
      <w:pPr>
        <w:pStyle w:val="10"/>
        <w:spacing w:line="276" w:lineRule="auto"/>
      </w:pPr>
      <w:r>
        <w:rPr>
          <w:rFonts w:ascii="dcr10" w:hAnsi="dcr10" w:cs="dcr10"/>
        </w:rPr>
        <w:t xml:space="preserve">       </w:t>
      </w:r>
      <w:r w:rsidRPr="00631E5E">
        <w:rPr>
          <w:rFonts w:ascii="dcr10" w:hAnsi="dcr10" w:cs="dcr10"/>
        </w:rPr>
        <w:t xml:space="preserve"> 17, Issue 35, 1 October 2002, Pages 449–495. </w:t>
      </w:r>
    </w:p>
    <w:p w14:paraId="173704A3" w14:textId="1C14D90A" w:rsidR="00A23EE2" w:rsidRDefault="00A23EE2" w:rsidP="00A23EE2">
      <w:pPr>
        <w:pStyle w:val="10"/>
        <w:rPr>
          <w:lang w:val="en-US"/>
        </w:rPr>
      </w:pPr>
      <w:r w:rsidRPr="00A23EE2">
        <w:rPr>
          <w:lang w:val="en-US"/>
        </w:rPr>
        <w:t>Frenkel, Jacob A., Assaf Razin, and Efraim Sadka, (1991), International Taxation in an Integrated World, Cambridge: MA, MIT Press.</w:t>
      </w:r>
    </w:p>
    <w:p w14:paraId="2A680871" w14:textId="1F84EFCF" w:rsidR="001C6DE5" w:rsidRDefault="001C6DE5" w:rsidP="005442E4">
      <w:pPr>
        <w:spacing w:line="480" w:lineRule="auto"/>
      </w:pPr>
      <w:r>
        <w:rPr>
          <w:rFonts w:ascii="Arial" w:hAnsi="Arial" w:cs="Arial"/>
          <w:color w:val="333333"/>
          <w:sz w:val="19"/>
          <w:szCs w:val="19"/>
        </w:rPr>
        <w:t>F</w:t>
      </w:r>
      <w:r w:rsidRPr="001C6DE5">
        <w:rPr>
          <w:rFonts w:ascii="dcr10" w:eastAsiaTheme="minorEastAsia" w:hAnsi="dcr10" w:cs="dcr10"/>
          <w:sz w:val="24"/>
          <w:szCs w:val="24"/>
          <w:lang w:val="de-DE" w:bidi="ar-SA"/>
        </w:rPr>
        <w:t>ouquin,  Michel,  and Jules Hugot , 2016. "Two Centuries of Bilateral Trade and Gravity Data: 1827-2014," CEPII Working Paper 2016- 14 , May 2016 , CEPII</w:t>
      </w:r>
      <w:r>
        <w:rPr>
          <w:rFonts w:ascii="dcr10" w:eastAsiaTheme="minorEastAsia" w:hAnsi="dcr10" w:cs="dcr10"/>
          <w:sz w:val="24"/>
          <w:szCs w:val="24"/>
          <w:lang w:val="de-DE" w:bidi="ar-SA"/>
        </w:rPr>
        <w:t>.</w:t>
      </w:r>
    </w:p>
    <w:p w14:paraId="43B97B90" w14:textId="77777777" w:rsidR="00C61F25" w:rsidRDefault="00C61F25" w:rsidP="00C61F25">
      <w:pPr>
        <w:pStyle w:val="10"/>
        <w:spacing w:line="276" w:lineRule="auto"/>
        <w:rPr>
          <w:rFonts w:ascii="dcr10" w:hAnsi="dcr10" w:cs="dcr10"/>
        </w:rPr>
      </w:pPr>
      <w:r>
        <w:rPr>
          <w:rFonts w:ascii="dcr10" w:hAnsi="dcr10" w:cs="dcr10"/>
        </w:rPr>
        <w:t>Goldstein Itay and Assaf Razin (2006), “An information-based trade off between foreign</w:t>
      </w:r>
    </w:p>
    <w:p w14:paraId="3DC60A7F" w14:textId="77777777" w:rsidR="00C61F25" w:rsidRDefault="00C61F25" w:rsidP="00C61F25">
      <w:pPr>
        <w:pStyle w:val="10"/>
        <w:spacing w:line="276" w:lineRule="auto"/>
        <w:rPr>
          <w:rFonts w:ascii="dcr10" w:hAnsi="dcr10" w:cs="dcr10"/>
        </w:rPr>
      </w:pPr>
      <w:r>
        <w:rPr>
          <w:rFonts w:ascii="dcr10" w:hAnsi="dcr10" w:cs="dcr10"/>
        </w:rPr>
        <w:t xml:space="preserve">     direct investment and foreign portfolio investment,” </w:t>
      </w:r>
      <w:r>
        <w:rPr>
          <w:rFonts w:ascii="dcr10" w:hAnsi="dcr10" w:cs="dcr10"/>
          <w:i/>
          <w:iCs/>
        </w:rPr>
        <w:t>Journal of International</w:t>
      </w:r>
    </w:p>
    <w:p w14:paraId="718D730A" w14:textId="77777777" w:rsidR="00C61F25" w:rsidRDefault="00C61F25" w:rsidP="00C61F25">
      <w:pPr>
        <w:pStyle w:val="10"/>
        <w:spacing w:line="276" w:lineRule="auto"/>
        <w:rPr>
          <w:rFonts w:ascii="dcr10" w:hAnsi="dcr10" w:cs="dcr10"/>
        </w:rPr>
      </w:pPr>
      <w:r>
        <w:rPr>
          <w:rFonts w:ascii="dcr10" w:hAnsi="dcr10" w:cs="dcr10"/>
        </w:rPr>
        <w:t xml:space="preserve">     </w:t>
      </w:r>
      <w:r>
        <w:rPr>
          <w:rFonts w:ascii="dcr10" w:hAnsi="dcr10" w:cs="dcr10"/>
          <w:i/>
          <w:iCs/>
        </w:rPr>
        <w:t>Economics</w:t>
      </w:r>
      <w:r>
        <w:rPr>
          <w:rFonts w:ascii="dcr10" w:hAnsi="dcr10" w:cs="dcr10"/>
        </w:rPr>
        <w:t>, Volume 7, Issue 1, September 2006, pp. 271-295.</w:t>
      </w:r>
    </w:p>
    <w:p w14:paraId="44BC1A4C" w14:textId="77777777" w:rsidR="0054534B" w:rsidRDefault="0054534B" w:rsidP="00514225">
      <w:pPr>
        <w:pStyle w:val="10"/>
        <w:rPr>
          <w:rFonts w:ascii="dcr10" w:hAnsi="dcr10" w:cs="dcr10"/>
        </w:rPr>
      </w:pPr>
    </w:p>
    <w:p w14:paraId="1FE7E37C" w14:textId="6CD84AA1" w:rsidR="000B2C31" w:rsidRDefault="000B2C31" w:rsidP="00514225">
      <w:pPr>
        <w:pStyle w:val="10"/>
        <w:rPr>
          <w:rFonts w:ascii="dcr10" w:hAnsi="dcr10" w:cs="dcr10"/>
        </w:rPr>
      </w:pPr>
      <w:r>
        <w:rPr>
          <w:rFonts w:ascii="dcr10" w:hAnsi="dcr10" w:cs="dcr10"/>
        </w:rPr>
        <w:t>Grossman, Gene, and Elhanan Helpman (1994),“Protection for Sale,“ The American Economic Review, 84 (4), 833-850.</w:t>
      </w:r>
    </w:p>
    <w:p w14:paraId="40B3F0EF" w14:textId="624C9AED" w:rsidR="000B2C31" w:rsidRDefault="000B2C31" w:rsidP="000B2C31">
      <w:pPr>
        <w:pStyle w:val="10"/>
        <w:rPr>
          <w:rFonts w:ascii="dcr10" w:hAnsi="dcr10" w:cs="dcr10"/>
        </w:rPr>
      </w:pPr>
      <w:r>
        <w:rPr>
          <w:rFonts w:ascii="dcr10" w:hAnsi="dcr10" w:cs="dcr10"/>
        </w:rPr>
        <w:t>Grossman, Gene, and Elhanan Helpman,  (2001), Special Interest Politics, MIT Press.</w:t>
      </w:r>
    </w:p>
    <w:p w14:paraId="1B23E7C8" w14:textId="77777777" w:rsidR="001451EE" w:rsidRPr="00970FB1" w:rsidRDefault="001451EE" w:rsidP="001451EE">
      <w:pPr>
        <w:pStyle w:val="10"/>
        <w:spacing w:line="276" w:lineRule="auto"/>
        <w:rPr>
          <w:rFonts w:ascii="dcr10" w:hAnsi="dcr10" w:cs="dcr10"/>
        </w:rPr>
      </w:pPr>
      <w:r w:rsidRPr="00970FB1">
        <w:rPr>
          <w:rFonts w:ascii="dcr10" w:hAnsi="dcr10" w:cs="dcr10"/>
        </w:rPr>
        <w:t>Hall, Robert E. and Dale W. Jorgenseon (1967). “Tax Policy and Investment</w:t>
      </w:r>
    </w:p>
    <w:p w14:paraId="5A521CB3" w14:textId="6785EDB5" w:rsidR="001451EE" w:rsidRDefault="001451EE" w:rsidP="001C6DE5">
      <w:pPr>
        <w:pStyle w:val="10"/>
        <w:spacing w:line="276" w:lineRule="auto"/>
        <w:rPr>
          <w:rFonts w:ascii="dcr10" w:hAnsi="dcr10" w:cs="dcr10"/>
        </w:rPr>
      </w:pPr>
      <w:r>
        <w:rPr>
          <w:rFonts w:ascii="dcr10" w:hAnsi="dcr10" w:cs="dcr10"/>
        </w:rPr>
        <w:t xml:space="preserve">       </w:t>
      </w:r>
      <w:r w:rsidRPr="00970FB1">
        <w:rPr>
          <w:rFonts w:ascii="dcr10" w:hAnsi="dcr10" w:cs="dcr10"/>
        </w:rPr>
        <w:t xml:space="preserve">Behavior." </w:t>
      </w:r>
      <w:r w:rsidRPr="00970FB1">
        <w:rPr>
          <w:rFonts w:ascii="dcti10" w:hAnsi="dcti10" w:cs="dcti10"/>
        </w:rPr>
        <w:t xml:space="preserve">American Economic Review </w:t>
      </w:r>
      <w:r w:rsidRPr="00970FB1">
        <w:rPr>
          <w:rFonts w:ascii="dcr10" w:hAnsi="dcr10" w:cs="dcr10"/>
        </w:rPr>
        <w:t>57: 391-414.</w:t>
      </w:r>
    </w:p>
    <w:p w14:paraId="2FE073C1" w14:textId="34D67E08" w:rsidR="000B2C31" w:rsidRDefault="000B2C31" w:rsidP="000B2C31">
      <w:pPr>
        <w:pStyle w:val="10"/>
        <w:rPr>
          <w:rFonts w:ascii="dcr10" w:hAnsi="dcr10" w:cs="dcr10"/>
        </w:rPr>
      </w:pPr>
      <w:r>
        <w:rPr>
          <w:rFonts w:ascii="dcr10" w:hAnsi="dcr10" w:cs="dcr10"/>
        </w:rPr>
        <w:t>Hillman, Arye (1982), „Declining industries and political-support protectionist motives,“ The American Economic Review, 72(5), 1180-1187.</w:t>
      </w:r>
    </w:p>
    <w:p w14:paraId="7D493584" w14:textId="77777777" w:rsidR="001451EE" w:rsidRPr="00970FB1" w:rsidRDefault="001451EE" w:rsidP="001451EE">
      <w:pPr>
        <w:pStyle w:val="10"/>
        <w:spacing w:line="276" w:lineRule="auto"/>
        <w:rPr>
          <w:rFonts w:ascii="dcr10" w:hAnsi="dcr10" w:cs="dcr10"/>
        </w:rPr>
      </w:pPr>
      <w:r w:rsidRPr="00970FB1">
        <w:rPr>
          <w:rFonts w:ascii="dcr10" w:hAnsi="dcr10" w:cs="dcr10"/>
        </w:rPr>
        <w:t>Hines, James R. (1999). “Lessons from Behavioral Responses to International</w:t>
      </w:r>
    </w:p>
    <w:p w14:paraId="7C96F12D" w14:textId="77777777" w:rsidR="001451EE" w:rsidRDefault="001451EE" w:rsidP="001451EE">
      <w:pPr>
        <w:pStyle w:val="10"/>
        <w:rPr>
          <w:rFonts w:ascii="dcr10" w:hAnsi="dcr10" w:cs="dcr10"/>
        </w:rPr>
      </w:pPr>
      <w:r>
        <w:rPr>
          <w:rFonts w:ascii="dcr10" w:hAnsi="dcr10" w:cs="dcr10"/>
        </w:rPr>
        <w:t xml:space="preserve">       </w:t>
      </w:r>
      <w:r w:rsidRPr="00970FB1">
        <w:rPr>
          <w:rFonts w:ascii="dcr10" w:hAnsi="dcr10" w:cs="dcr10"/>
        </w:rPr>
        <w:t xml:space="preserve">Taxation." </w:t>
      </w:r>
      <w:r w:rsidRPr="00970FB1">
        <w:rPr>
          <w:rFonts w:ascii="dcti10" w:hAnsi="dcti10" w:cs="dcti10"/>
        </w:rPr>
        <w:t xml:space="preserve">National Tax Journal </w:t>
      </w:r>
      <w:r w:rsidRPr="00970FB1">
        <w:rPr>
          <w:rFonts w:ascii="dcr10" w:hAnsi="dcr10" w:cs="dcr10"/>
        </w:rPr>
        <w:t>52: 304-322.</w:t>
      </w:r>
    </w:p>
    <w:p w14:paraId="32DF1B63" w14:textId="77777777" w:rsidR="00B96BD7" w:rsidRPr="00631E5E" w:rsidRDefault="00B96BD7" w:rsidP="00B96BD7">
      <w:pPr>
        <w:widowControl w:val="0"/>
        <w:spacing w:after="200" w:line="480" w:lineRule="auto"/>
        <w:ind w:left="540" w:hanging="540"/>
        <w:contextualSpacing/>
        <w:rPr>
          <w:rFonts w:ascii="Times New Roman" w:eastAsia="Calibri" w:hAnsi="Times New Roman" w:cs="Times New Roman"/>
          <w:sz w:val="24"/>
          <w:szCs w:val="24"/>
          <w:lang w:bidi="ar-SA"/>
        </w:rPr>
      </w:pPr>
      <w:bookmarkStart w:id="2" w:name="baep-author-id4"/>
      <w:r w:rsidRPr="00631E5E">
        <w:rPr>
          <w:rFonts w:ascii="Times New Roman" w:eastAsia="Calibri" w:hAnsi="Times New Roman" w:cs="Times New Roman"/>
          <w:sz w:val="24"/>
          <w:szCs w:val="24"/>
          <w:lang w:bidi="ar-SA"/>
        </w:rPr>
        <w:t>Krautheim, Sebastian, and Tim Schmidt-Eisenhor (2011)</w:t>
      </w:r>
      <w:bookmarkEnd w:id="2"/>
      <w:r w:rsidRPr="00631E5E">
        <w:rPr>
          <w:rFonts w:ascii="Times New Roman" w:eastAsia="Calibri" w:hAnsi="Times New Roman" w:cs="Times New Roman"/>
          <w:sz w:val="24"/>
          <w:szCs w:val="24"/>
          <w:lang w:bidi="ar-SA"/>
        </w:rPr>
        <w:t xml:space="preserve">, “Heterogeneous firms, ‘profit </w:t>
      </w:r>
    </w:p>
    <w:p w14:paraId="342A760A" w14:textId="77777777" w:rsidR="00B96BD7" w:rsidRPr="00631E5E" w:rsidRDefault="00B96BD7" w:rsidP="00B96BD7">
      <w:pPr>
        <w:widowControl w:val="0"/>
        <w:spacing w:after="200" w:line="480" w:lineRule="auto"/>
        <w:ind w:left="540" w:hanging="540"/>
        <w:contextualSpacing/>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         </w:t>
      </w:r>
      <w:r w:rsidRPr="00631E5E">
        <w:rPr>
          <w:rFonts w:ascii="Times New Roman" w:eastAsia="Calibri" w:hAnsi="Times New Roman" w:cs="Times New Roman"/>
          <w:sz w:val="24"/>
          <w:szCs w:val="24"/>
          <w:lang w:bidi="ar-SA"/>
        </w:rPr>
        <w:t xml:space="preserve">shifting’ FDI and international tax competition,” </w:t>
      </w:r>
      <w:hyperlink r:id="rId28" w:tooltip="Go to Journal of Public Economics on ScienceDirect" w:history="1">
        <w:r w:rsidRPr="00631E5E">
          <w:rPr>
            <w:rFonts w:ascii="Times New Roman" w:eastAsia="Calibri" w:hAnsi="Times New Roman" w:cs="Times New Roman"/>
            <w:sz w:val="24"/>
            <w:szCs w:val="24"/>
            <w:lang w:bidi="ar-SA"/>
          </w:rPr>
          <w:t>Journal of Public Economics</w:t>
        </w:r>
      </w:hyperlink>
    </w:p>
    <w:p w14:paraId="358B0F84" w14:textId="5C5FEFF8" w:rsidR="00B96BD7" w:rsidRPr="00B96BD7" w:rsidRDefault="00B96BD7" w:rsidP="001C6DE5">
      <w:pPr>
        <w:widowControl w:val="0"/>
        <w:spacing w:after="200" w:line="480" w:lineRule="auto"/>
        <w:ind w:left="540" w:hanging="540"/>
        <w:contextualSpacing/>
        <w:rPr>
          <w:rFonts w:ascii="dcr10" w:hAnsi="dcr10" w:cs="dcr10"/>
        </w:rPr>
      </w:pPr>
      <w:r>
        <w:rPr>
          <w:rFonts w:ascii="Times New Roman" w:eastAsia="Calibri" w:hAnsi="Times New Roman" w:cs="Times New Roman"/>
          <w:sz w:val="24"/>
          <w:szCs w:val="24"/>
          <w:lang w:bidi="ar-SA"/>
        </w:rPr>
        <w:t xml:space="preserve">         </w:t>
      </w:r>
      <w:hyperlink r:id="rId29" w:tooltip="Go to table of contents for this volume/issue" w:history="1">
        <w:r w:rsidRPr="00631E5E">
          <w:rPr>
            <w:rFonts w:ascii="Times New Roman" w:eastAsia="Calibri" w:hAnsi="Times New Roman" w:cs="Times New Roman"/>
            <w:sz w:val="24"/>
            <w:szCs w:val="24"/>
            <w:lang w:bidi="ar-SA"/>
          </w:rPr>
          <w:t>Volume 95, Issues 1–2</w:t>
        </w:r>
      </w:hyperlink>
      <w:r w:rsidRPr="00631E5E">
        <w:rPr>
          <w:rFonts w:ascii="Times New Roman" w:eastAsia="Calibri" w:hAnsi="Times New Roman" w:cs="Times New Roman"/>
          <w:sz w:val="24"/>
          <w:szCs w:val="24"/>
          <w:lang w:bidi="ar-SA"/>
        </w:rPr>
        <w:t>, February, Pages 122-133.</w:t>
      </w:r>
    </w:p>
    <w:p w14:paraId="3D253681" w14:textId="77777777" w:rsidR="00B96BD7" w:rsidRPr="002E7ACB" w:rsidRDefault="00B96BD7" w:rsidP="00B96BD7">
      <w:pPr>
        <w:widowControl w:val="0"/>
        <w:spacing w:after="200" w:line="480" w:lineRule="auto"/>
        <w:ind w:left="540" w:hanging="540"/>
        <w:contextualSpacing/>
        <w:rPr>
          <w:rFonts w:ascii="Times New Roman" w:eastAsia="Calibri" w:hAnsi="Times New Roman" w:cs="Times New Roman"/>
          <w:sz w:val="24"/>
          <w:szCs w:val="24"/>
          <w:lang w:bidi="ar-SA"/>
        </w:rPr>
      </w:pPr>
      <w:r w:rsidRPr="002E7ACB">
        <w:rPr>
          <w:rFonts w:ascii="Times New Roman" w:eastAsia="Calibri" w:hAnsi="Times New Roman" w:cs="Times New Roman"/>
          <w:sz w:val="24"/>
          <w:szCs w:val="24"/>
          <w:lang w:bidi="ar-SA"/>
        </w:rPr>
        <w:t>Lassen, David D. and Peter Birch Sorensen (2002). “Fnancing the NordicWelfare</w:t>
      </w:r>
    </w:p>
    <w:p w14:paraId="57A8C0CA" w14:textId="77777777" w:rsidR="00B96BD7" w:rsidRPr="002E7ACB" w:rsidRDefault="00B96BD7" w:rsidP="00B96BD7">
      <w:pPr>
        <w:widowControl w:val="0"/>
        <w:spacing w:after="200" w:line="480" w:lineRule="auto"/>
        <w:contextualSpacing/>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       </w:t>
      </w:r>
      <w:r w:rsidRPr="002E7ACB">
        <w:rPr>
          <w:rFonts w:ascii="Times New Roman" w:eastAsia="Calibri" w:hAnsi="Times New Roman" w:cs="Times New Roman"/>
          <w:sz w:val="24"/>
          <w:szCs w:val="24"/>
          <w:lang w:bidi="ar-SA"/>
        </w:rPr>
        <w:t>States: The Challenge of Globalization to Taxation in Nordic Countries."</w:t>
      </w:r>
    </w:p>
    <w:p w14:paraId="7FF8DB9F" w14:textId="77777777" w:rsidR="00B96BD7" w:rsidRPr="002E7ACB" w:rsidRDefault="00B96BD7" w:rsidP="00B96BD7">
      <w:pPr>
        <w:widowControl w:val="0"/>
        <w:spacing w:after="200" w:line="480" w:lineRule="auto"/>
        <w:contextualSpacing/>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      </w:t>
      </w:r>
      <w:r w:rsidRPr="002E7ACB">
        <w:rPr>
          <w:rFonts w:ascii="Times New Roman" w:eastAsia="Calibri" w:hAnsi="Times New Roman" w:cs="Times New Roman"/>
          <w:sz w:val="24"/>
          <w:szCs w:val="24"/>
          <w:lang w:bidi="ar-SA"/>
        </w:rPr>
        <w:t xml:space="preserve"> A Report prepared for the Nordic Council of Ministers, June.</w:t>
      </w:r>
    </w:p>
    <w:p w14:paraId="23ADB6A6" w14:textId="0478D14D" w:rsidR="000B2C31" w:rsidRDefault="000B2C31" w:rsidP="000B2C31">
      <w:pPr>
        <w:pStyle w:val="10"/>
        <w:rPr>
          <w:rFonts w:ascii="dcr10" w:hAnsi="dcr10" w:cs="dcr10"/>
        </w:rPr>
      </w:pPr>
      <w:r>
        <w:rPr>
          <w:rFonts w:ascii="dcr10" w:hAnsi="dcr10" w:cs="dcr10"/>
        </w:rPr>
        <w:t>Levy, P. I., (1997), „A political-economic analysis of free trade agreements,“ The American Economic Review, 74 (5)506-519.</w:t>
      </w:r>
    </w:p>
    <w:p w14:paraId="50F72CE1" w14:textId="1F3E2BA8" w:rsidR="000B2C31" w:rsidRDefault="000B2C31" w:rsidP="008E440E">
      <w:pPr>
        <w:pStyle w:val="10"/>
        <w:rPr>
          <w:rFonts w:ascii="dcr10" w:hAnsi="dcr10" w:cs="dcr10"/>
        </w:rPr>
      </w:pPr>
      <w:r>
        <w:rPr>
          <w:rFonts w:ascii="dcr10" w:hAnsi="dcr10" w:cs="dcr10"/>
        </w:rPr>
        <w:t xml:space="preserve">Magee, S. P., Brock, W. A., and L. Young, (1989), Black hole tariff and endogenous policy theory, Cambridge Books. </w:t>
      </w:r>
    </w:p>
    <w:p w14:paraId="44948A49" w14:textId="77777777" w:rsidR="000B2C31" w:rsidRDefault="000B2C31" w:rsidP="00514225">
      <w:pPr>
        <w:pStyle w:val="10"/>
        <w:rPr>
          <w:rFonts w:ascii="dcr10" w:hAnsi="dcr10" w:cs="dcr10"/>
        </w:rPr>
      </w:pPr>
    </w:p>
    <w:p w14:paraId="095C0AEA" w14:textId="3581833D" w:rsidR="0054534B" w:rsidRDefault="0054534B" w:rsidP="00514225">
      <w:pPr>
        <w:pStyle w:val="10"/>
        <w:rPr>
          <w:rFonts w:ascii="dcr10" w:hAnsi="dcr10" w:cs="dcr10"/>
        </w:rPr>
      </w:pPr>
      <w:r w:rsidRPr="0054534B">
        <w:rPr>
          <w:rFonts w:ascii="dcr10" w:hAnsi="dcr10" w:cs="dcr10"/>
        </w:rPr>
        <w:t>Mayer,</w:t>
      </w:r>
      <w:r>
        <w:rPr>
          <w:rFonts w:ascii="dcr10" w:hAnsi="dcr10" w:cs="dcr10"/>
        </w:rPr>
        <w:t xml:space="preserve"> Wolfgang, (1984),</w:t>
      </w:r>
      <w:r w:rsidRPr="0054534B">
        <w:rPr>
          <w:rFonts w:ascii="dcr10" w:hAnsi="dcr10" w:cs="dcr10"/>
        </w:rPr>
        <w:t xml:space="preserve">  “Endogenous Tariff Formation,” American Economic Review 74:5, December 1984, pp. 970-985.</w:t>
      </w:r>
    </w:p>
    <w:p w14:paraId="0713DE7E" w14:textId="1B7FFAB5" w:rsidR="002D17EF" w:rsidRDefault="002D17EF" w:rsidP="00514225">
      <w:pPr>
        <w:pStyle w:val="10"/>
        <w:rPr>
          <w:rFonts w:ascii="dcr10" w:hAnsi="dcr10" w:cs="dcr10"/>
        </w:rPr>
      </w:pPr>
      <w:r>
        <w:rPr>
          <w:rFonts w:ascii="dcr10" w:hAnsi="dcr10" w:cs="dcr10"/>
        </w:rPr>
        <w:t>Mayer, Wolfgang, and J. Li (1994), „Interest groups, electoral competition, and probabilistic voting for trade policies,“ Economics and Politics, 6 (1), 59-77.</w:t>
      </w:r>
    </w:p>
    <w:p w14:paraId="259C2C96" w14:textId="40ACD0A4" w:rsidR="00C61F25" w:rsidRPr="00514225" w:rsidRDefault="00514225" w:rsidP="00514225">
      <w:pPr>
        <w:pStyle w:val="10"/>
        <w:rPr>
          <w:rFonts w:ascii="dcr10" w:hAnsi="dcr10" w:cs="dcr10"/>
        </w:rPr>
      </w:pPr>
      <w:r w:rsidRPr="00514225">
        <w:rPr>
          <w:rFonts w:ascii="dcr10" w:hAnsi="dcr10" w:cs="dcr10"/>
        </w:rPr>
        <w:t>McCallum, J. (1995), ‘National Borders Matter: Canadian-U.S. Regional Trade Patterns’, American</w:t>
      </w:r>
      <w:r>
        <w:rPr>
          <w:rFonts w:ascii="dcr10" w:hAnsi="dcr10" w:cs="dcr10"/>
        </w:rPr>
        <w:t xml:space="preserve"> </w:t>
      </w:r>
      <w:r w:rsidRPr="00514225">
        <w:rPr>
          <w:rFonts w:ascii="dcr10" w:hAnsi="dcr10" w:cs="dcr10"/>
        </w:rPr>
        <w:t>Economic Review, 85, 3, 615–23.</w:t>
      </w:r>
    </w:p>
    <w:p w14:paraId="311A98E7" w14:textId="77777777" w:rsidR="00C61F25" w:rsidRDefault="00C61F25" w:rsidP="00C61F25">
      <w:pPr>
        <w:pStyle w:val="10"/>
        <w:spacing w:line="360" w:lineRule="auto"/>
        <w:rPr>
          <w:rFonts w:ascii="dcr10" w:hAnsi="dcr10" w:cs="dcr10"/>
        </w:rPr>
      </w:pPr>
      <w:r w:rsidRPr="00BF1485">
        <w:rPr>
          <w:rFonts w:ascii="dcr10" w:hAnsi="dcr10" w:cs="dcr10"/>
        </w:rPr>
        <w:t>Razin, Assaf</w:t>
      </w:r>
      <w:r>
        <w:rPr>
          <w:rFonts w:ascii="dcr10" w:hAnsi="dcr10" w:cs="dcr10"/>
        </w:rPr>
        <w:t>,</w:t>
      </w:r>
      <w:r w:rsidRPr="00BF1485">
        <w:rPr>
          <w:rFonts w:ascii="dcr10" w:hAnsi="dcr10" w:cs="dcr10"/>
        </w:rPr>
        <w:t xml:space="preserve"> Sadka, Efraim </w:t>
      </w:r>
      <w:r>
        <w:rPr>
          <w:rFonts w:ascii="dcr10" w:hAnsi="dcr10" w:cs="dcr10"/>
        </w:rPr>
        <w:t xml:space="preserve">and </w:t>
      </w:r>
      <w:r w:rsidRPr="00BF1485">
        <w:rPr>
          <w:rFonts w:ascii="dcr10" w:hAnsi="dcr10" w:cs="dcr10"/>
        </w:rPr>
        <w:t xml:space="preserve"> Chi-Wa,</w:t>
      </w:r>
      <w:r w:rsidRPr="00C20906">
        <w:rPr>
          <w:rFonts w:ascii="dcr10" w:hAnsi="dcr10" w:cs="dcr10"/>
        </w:rPr>
        <w:t xml:space="preserve"> </w:t>
      </w:r>
      <w:r w:rsidRPr="00BF1485">
        <w:rPr>
          <w:rFonts w:ascii="dcr10" w:hAnsi="dcr10" w:cs="dcr10"/>
        </w:rPr>
        <w:t xml:space="preserve">Yuen, </w:t>
      </w:r>
      <w:r>
        <w:rPr>
          <w:rFonts w:ascii="dcr10" w:hAnsi="dcr10" w:cs="dcr10"/>
        </w:rPr>
        <w:t>(</w:t>
      </w:r>
      <w:r w:rsidRPr="00BF1485">
        <w:rPr>
          <w:rFonts w:ascii="dcr10" w:hAnsi="dcr10" w:cs="dcr10"/>
        </w:rPr>
        <w:t>1998</w:t>
      </w:r>
      <w:r>
        <w:rPr>
          <w:rFonts w:ascii="dcr10" w:hAnsi="dcr10" w:cs="dcr10"/>
        </w:rPr>
        <w:t>)</w:t>
      </w:r>
      <w:r w:rsidRPr="00BF1485">
        <w:rPr>
          <w:rFonts w:ascii="dcr10" w:hAnsi="dcr10" w:cs="dcr10"/>
        </w:rPr>
        <w:t>. "</w:t>
      </w:r>
      <w:hyperlink r:id="rId30" w:history="1">
        <w:r w:rsidRPr="00BF1485">
          <w:rPr>
            <w:rFonts w:ascii="dcr10" w:hAnsi="dcr10" w:cs="dcr10"/>
          </w:rPr>
          <w:t xml:space="preserve">A pecking order of capital </w:t>
        </w:r>
        <w:r>
          <w:rPr>
            <w:rFonts w:ascii="dcr10" w:hAnsi="dcr10" w:cs="dcr10"/>
          </w:rPr>
          <w:t xml:space="preserve">     </w:t>
        </w:r>
        <w:r w:rsidRPr="00BF1485">
          <w:rPr>
            <w:rFonts w:ascii="dcr10" w:hAnsi="dcr10" w:cs="dcr10"/>
          </w:rPr>
          <w:t>inflows and international tax principles</w:t>
        </w:r>
      </w:hyperlink>
      <w:r w:rsidRPr="00BF1485">
        <w:rPr>
          <w:rFonts w:ascii="dcr10" w:hAnsi="dcr10" w:cs="dcr10"/>
        </w:rPr>
        <w:t xml:space="preserve">," </w:t>
      </w:r>
      <w:hyperlink r:id="rId31" w:history="1">
        <w:r w:rsidRPr="00BF1485">
          <w:rPr>
            <w:rFonts w:ascii="dcr10" w:hAnsi="dcr10" w:cs="dcr10"/>
            <w:u w:val="single"/>
          </w:rPr>
          <w:t>Journal of International Economics</w:t>
        </w:r>
      </w:hyperlink>
      <w:r w:rsidRPr="00BF1485">
        <w:rPr>
          <w:rFonts w:ascii="dcr10" w:hAnsi="dcr10" w:cs="dcr10"/>
        </w:rPr>
        <w:t>, Elsevier, vol. 44(1), pages 45-68, February.</w:t>
      </w:r>
    </w:p>
    <w:p w14:paraId="1CD8387B" w14:textId="77777777" w:rsidR="00B96BD7" w:rsidRDefault="00B96BD7" w:rsidP="00B96BD7">
      <w:pPr>
        <w:pStyle w:val="10"/>
        <w:spacing w:line="240" w:lineRule="auto"/>
        <w:rPr>
          <w:rFonts w:ascii="dcr10" w:hAnsi="dcr10" w:cs="dcr10"/>
        </w:rPr>
      </w:pPr>
      <w:r w:rsidRPr="002E7ACB">
        <w:rPr>
          <w:rFonts w:ascii="dcr10" w:hAnsi="dcr10" w:cs="dcr10"/>
        </w:rPr>
        <w:t xml:space="preserve">Razin, Assaf, Efraim Sadka, and Chang Woon Nam (2005), The  Decline of the Welfare </w:t>
      </w:r>
    </w:p>
    <w:p w14:paraId="2DFB968F" w14:textId="77777777" w:rsidR="00B96BD7" w:rsidRPr="002E7ACB" w:rsidRDefault="00B96BD7" w:rsidP="00B96BD7">
      <w:pPr>
        <w:pStyle w:val="10"/>
        <w:spacing w:line="240" w:lineRule="auto"/>
        <w:rPr>
          <w:rFonts w:ascii="dcr10" w:hAnsi="dcr10" w:cs="dcr10"/>
        </w:rPr>
      </w:pPr>
      <w:r>
        <w:rPr>
          <w:rFonts w:ascii="dcr10" w:hAnsi="dcr10" w:cs="dcr10"/>
        </w:rPr>
        <w:t xml:space="preserve">          </w:t>
      </w:r>
      <w:r w:rsidRPr="002E7ACB">
        <w:rPr>
          <w:rFonts w:ascii="dcr10" w:hAnsi="dcr10" w:cs="dcr10"/>
        </w:rPr>
        <w:t>State: Demography and Globalization, MIT Press.</w:t>
      </w:r>
    </w:p>
    <w:p w14:paraId="1FD2D4D1" w14:textId="77777777" w:rsidR="00B96BD7" w:rsidRDefault="00B96BD7" w:rsidP="00C61F25">
      <w:pPr>
        <w:pStyle w:val="10"/>
        <w:spacing w:line="360" w:lineRule="auto"/>
        <w:rPr>
          <w:rFonts w:ascii="dcr10" w:hAnsi="dcr10" w:cs="dcr10"/>
        </w:rPr>
      </w:pPr>
    </w:p>
    <w:p w14:paraId="17C1C2E7" w14:textId="199CC7CE" w:rsidR="002D17EF" w:rsidRDefault="002D17EF" w:rsidP="00C61F25">
      <w:pPr>
        <w:pStyle w:val="10"/>
        <w:spacing w:line="360" w:lineRule="auto"/>
        <w:rPr>
          <w:rFonts w:ascii="dcr10" w:hAnsi="dcr10" w:cs="dcr10"/>
        </w:rPr>
      </w:pPr>
      <w:r>
        <w:rPr>
          <w:rFonts w:ascii="dcr10" w:hAnsi="dcr10" w:cs="dcr10"/>
        </w:rPr>
        <w:t>Rodrik, Dani, (1995), „Political economy of trade policy,“ Handbook of International Economics, 3, 1457-1494.</w:t>
      </w:r>
    </w:p>
    <w:p w14:paraId="0939C692" w14:textId="77777777" w:rsidR="00B757A7" w:rsidRPr="00BF1485" w:rsidRDefault="00B757A7" w:rsidP="00B757A7">
      <w:pPr>
        <w:pStyle w:val="10"/>
        <w:spacing w:line="240" w:lineRule="auto"/>
        <w:rPr>
          <w:rFonts w:ascii="dcr10" w:hAnsi="dcr10" w:cs="dcr10"/>
          <w:u w:val="single"/>
        </w:rPr>
      </w:pPr>
      <w:r w:rsidRPr="00BF1485">
        <w:rPr>
          <w:rFonts w:ascii="dcr10" w:hAnsi="dcr10" w:cs="dcr10"/>
        </w:rPr>
        <w:t xml:space="preserve">Rodrik, Dani (2011), </w:t>
      </w:r>
      <w:r w:rsidRPr="00BF1485">
        <w:rPr>
          <w:rFonts w:ascii="dcr10" w:hAnsi="dcr10" w:cs="dcr10"/>
          <w:u w:val="single"/>
        </w:rPr>
        <w:t xml:space="preserve">The Globalization Paradox: Democracy and the Future of the World </w:t>
      </w:r>
    </w:p>
    <w:p w14:paraId="08839480" w14:textId="77777777" w:rsidR="00B757A7" w:rsidRDefault="00B757A7" w:rsidP="00B757A7">
      <w:pPr>
        <w:pStyle w:val="10"/>
        <w:spacing w:line="240" w:lineRule="auto"/>
        <w:rPr>
          <w:rFonts w:ascii="dcr10" w:hAnsi="dcr10" w:cs="dcr10"/>
        </w:rPr>
      </w:pPr>
      <w:r w:rsidRPr="00BF1485">
        <w:rPr>
          <w:rFonts w:ascii="dcr10" w:hAnsi="dcr10" w:cs="dcr10"/>
        </w:rPr>
        <w:t xml:space="preserve">  </w:t>
      </w:r>
      <w:r>
        <w:rPr>
          <w:rFonts w:ascii="dcr10" w:hAnsi="dcr10" w:cs="dcr10"/>
        </w:rPr>
        <w:t xml:space="preserve">       </w:t>
      </w:r>
      <w:r w:rsidRPr="00BF1485">
        <w:rPr>
          <w:rFonts w:ascii="dcr10" w:hAnsi="dcr10" w:cs="dcr10"/>
          <w:u w:val="single"/>
        </w:rPr>
        <w:t>Economy</w:t>
      </w:r>
      <w:r w:rsidRPr="00BF1485">
        <w:rPr>
          <w:rFonts w:ascii="dcr10" w:hAnsi="dcr10" w:cs="dcr10"/>
        </w:rPr>
        <w:t>, W.W. Norton.</w:t>
      </w:r>
    </w:p>
    <w:p w14:paraId="072C5755" w14:textId="72F0C045" w:rsidR="0029570D" w:rsidRPr="009960CD" w:rsidRDefault="0029570D" w:rsidP="00B757A7">
      <w:pPr>
        <w:pStyle w:val="10"/>
        <w:rPr>
          <w:lang w:val="en-US"/>
        </w:rPr>
      </w:pPr>
      <w:r w:rsidRPr="009960CD">
        <w:rPr>
          <w:lang w:val="en-US"/>
        </w:rPr>
        <w:t xml:space="preserve">Rogowski, Ronald (1992)  </w:t>
      </w:r>
      <w:r w:rsidRPr="009960CD">
        <w:rPr>
          <w:u w:val="single"/>
          <w:lang w:val="en-US"/>
        </w:rPr>
        <w:t>Commerce and Coalitions How Trade Affects Domestic Political Alignments</w:t>
      </w:r>
      <w:r w:rsidRPr="009960CD">
        <w:rPr>
          <w:lang w:val="en-US"/>
        </w:rPr>
        <w:t>, Princeton University Press</w:t>
      </w:r>
      <w:r w:rsidR="00B757A7">
        <w:rPr>
          <w:lang w:val="en-US"/>
        </w:rPr>
        <w:t>.</w:t>
      </w:r>
    </w:p>
    <w:p w14:paraId="0CF7FFDC" w14:textId="65B6C9B4" w:rsidR="00625DDA" w:rsidRPr="009960CD" w:rsidRDefault="00625DDA" w:rsidP="00F06189">
      <w:pPr>
        <w:pStyle w:val="10"/>
        <w:rPr>
          <w:lang w:val="en-US"/>
        </w:rPr>
      </w:pPr>
      <w:r w:rsidRPr="009960CD">
        <w:rPr>
          <w:lang w:val="en-US"/>
        </w:rPr>
        <w:t>Rybczynski, T. M. 1955. "Factor Endowments and Relative Commodity Prices."  Economica 22: 336-341</w:t>
      </w:r>
      <w:r w:rsidR="0029570D" w:rsidRPr="009960CD">
        <w:rPr>
          <w:lang w:val="en-US"/>
        </w:rPr>
        <w:t>.</w:t>
      </w:r>
    </w:p>
    <w:p w14:paraId="411788A4" w14:textId="2EB05BF2" w:rsidR="0029570D" w:rsidRPr="009960CD" w:rsidRDefault="0029570D" w:rsidP="0029570D">
      <w:pPr>
        <w:pStyle w:val="10"/>
        <w:rPr>
          <w:lang w:val="en-US"/>
        </w:rPr>
      </w:pPr>
      <w:r w:rsidRPr="009960CD">
        <w:rPr>
          <w:lang w:val="en-US"/>
        </w:rPr>
        <w:t>Schott, Peter K. (2003) “One Size Fits All? Heckscher-Ohlin Specialization in Global Production” American Economic Review, Vol 93, No 3, pp. 686-708.</w:t>
      </w:r>
    </w:p>
    <w:p w14:paraId="1A19753F" w14:textId="3EB7E98B" w:rsidR="00644CEF" w:rsidRDefault="00644CEF" w:rsidP="0029570D">
      <w:pPr>
        <w:pStyle w:val="10"/>
        <w:rPr>
          <w:lang w:val="en-US"/>
        </w:rPr>
      </w:pPr>
      <w:r w:rsidRPr="009960CD">
        <w:rPr>
          <w:lang w:val="en-US"/>
        </w:rPr>
        <w:t>Samuelson, Paul. 1939. “The Gains from International Trade.”  The Canadian Journal of  Economics and Political Science / Revue Canadienne d’Economique et de Science  Politique.  5(2): 195-205.</w:t>
      </w:r>
    </w:p>
    <w:p w14:paraId="3656ED4E" w14:textId="77777777" w:rsidR="00B96BD7" w:rsidRDefault="00B96BD7" w:rsidP="00B96BD7">
      <w:pPr>
        <w:pStyle w:val="10"/>
        <w:spacing w:line="240" w:lineRule="auto"/>
        <w:rPr>
          <w:rFonts w:ascii="dcr10" w:hAnsi="dcr10" w:cs="dcr10"/>
        </w:rPr>
      </w:pPr>
      <w:r w:rsidRPr="00970FB1">
        <w:rPr>
          <w:rFonts w:ascii="dcr10" w:hAnsi="dcr10" w:cs="dcr10"/>
        </w:rPr>
        <w:t>Sorensen, Peter Birch (2002). “The Case for International Tax Coordination</w:t>
      </w:r>
      <w:r>
        <w:rPr>
          <w:rFonts w:ascii="dcr10" w:hAnsi="dcr10" w:cs="dcr10"/>
        </w:rPr>
        <w:t xml:space="preserve"> </w:t>
      </w:r>
    </w:p>
    <w:p w14:paraId="4E1FD5B9" w14:textId="3E79CC23" w:rsidR="00B96BD7" w:rsidRPr="009960CD" w:rsidRDefault="00B96BD7" w:rsidP="00B96BD7">
      <w:pPr>
        <w:pStyle w:val="10"/>
        <w:spacing w:line="240" w:lineRule="auto"/>
        <w:rPr>
          <w:lang w:val="en-US"/>
        </w:rPr>
      </w:pPr>
      <w:r>
        <w:rPr>
          <w:rFonts w:ascii="dcr10" w:hAnsi="dcr10" w:cs="dcr10"/>
        </w:rPr>
        <w:t xml:space="preserve">        </w:t>
      </w:r>
      <w:r w:rsidRPr="00970FB1">
        <w:rPr>
          <w:rFonts w:ascii="dcr10" w:hAnsi="dcr10" w:cs="dcr10"/>
        </w:rPr>
        <w:t xml:space="preserve">Reconsidered." </w:t>
      </w:r>
      <w:r w:rsidRPr="00970FB1">
        <w:rPr>
          <w:rFonts w:ascii="dcti10" w:hAnsi="dcti10" w:cs="dcti10"/>
          <w:u w:val="single"/>
        </w:rPr>
        <w:t>Economic Policy</w:t>
      </w:r>
      <w:r w:rsidRPr="00970FB1">
        <w:rPr>
          <w:rFonts w:ascii="dcti10" w:hAnsi="dcti10" w:cs="dcti10"/>
        </w:rPr>
        <w:t xml:space="preserve"> </w:t>
      </w:r>
      <w:r w:rsidRPr="00970FB1">
        <w:rPr>
          <w:rFonts w:ascii="dcr10" w:hAnsi="dcr10" w:cs="dcr10"/>
        </w:rPr>
        <w:t>31: 429-472.</w:t>
      </w:r>
    </w:p>
    <w:p w14:paraId="641A72E6" w14:textId="77777777" w:rsidR="0029570D" w:rsidRPr="009960CD" w:rsidRDefault="0029570D" w:rsidP="00F06189">
      <w:pPr>
        <w:pStyle w:val="10"/>
        <w:rPr>
          <w:lang w:val="en-US"/>
        </w:rPr>
      </w:pPr>
    </w:p>
    <w:p w14:paraId="6EE636EE" w14:textId="27329E02" w:rsidR="00204AA0" w:rsidRPr="009960CD" w:rsidRDefault="00204AA0" w:rsidP="00204AA0">
      <w:pPr>
        <w:pStyle w:val="10"/>
        <w:rPr>
          <w:lang w:val="en-US"/>
        </w:rPr>
      </w:pPr>
      <w:r w:rsidRPr="009960CD">
        <w:rPr>
          <w:lang w:val="en-US"/>
        </w:rPr>
        <w:t>Stolper, Wolfgang A., and Paul A. Samuelson (1941), “protection and real wages,” The Review of Economic Studies</w:t>
      </w:r>
    </w:p>
    <w:p w14:paraId="10D62BD2" w14:textId="77777777" w:rsidR="00204AA0" w:rsidRPr="009960CD" w:rsidRDefault="00204AA0" w:rsidP="00204AA0">
      <w:pPr>
        <w:pStyle w:val="10"/>
        <w:rPr>
          <w:lang w:val="en-US"/>
        </w:rPr>
      </w:pPr>
      <w:r w:rsidRPr="009960CD">
        <w:rPr>
          <w:lang w:val="en-US"/>
        </w:rPr>
        <w:t>Vol. 9, No. 1 (Nov., 1941), pp. 58-73</w:t>
      </w:r>
    </w:p>
    <w:p w14:paraId="7BE9C5C7" w14:textId="30DC90A0" w:rsidR="00204AA0" w:rsidRPr="009960CD" w:rsidRDefault="00204AA0" w:rsidP="00F06189">
      <w:pPr>
        <w:pStyle w:val="10"/>
        <w:rPr>
          <w:lang w:val="en-US"/>
        </w:rPr>
      </w:pPr>
    </w:p>
    <w:p w14:paraId="79213BD9" w14:textId="77777777" w:rsidR="00F06189" w:rsidRPr="009960CD" w:rsidRDefault="00F06189" w:rsidP="00F06189">
      <w:pPr>
        <w:pStyle w:val="10"/>
        <w:rPr>
          <w:lang w:val="en-US"/>
        </w:rPr>
      </w:pPr>
    </w:p>
    <w:p w14:paraId="0B01E0DB" w14:textId="77777777" w:rsidR="00F06189" w:rsidRPr="009960CD" w:rsidRDefault="00F06189" w:rsidP="00F06189">
      <w:pPr>
        <w:pStyle w:val="10"/>
        <w:rPr>
          <w:lang w:val="en-US"/>
        </w:rPr>
      </w:pPr>
      <w:r w:rsidRPr="009960CD">
        <w:rPr>
          <w:lang w:val="en-US"/>
        </w:rPr>
        <w:t>Razin, Assaf and Efraim Sadka (2017), “International Tax Reforms with Flexible Prices,” CEPR Vox-EU.</w:t>
      </w:r>
    </w:p>
    <w:p w14:paraId="621BF01F" w14:textId="77777777" w:rsidR="00F06189" w:rsidRDefault="00F06189" w:rsidP="00F06189">
      <w:pPr>
        <w:pStyle w:val="10"/>
        <w:rPr>
          <w:lang w:val="en-US"/>
        </w:rPr>
      </w:pPr>
      <w:r w:rsidRPr="009960CD">
        <w:rPr>
          <w:lang w:val="en-US"/>
        </w:rPr>
        <w:t>Razin, Assaf and Efraim Sadka (2018), “The Welfare State besides Globalization Forces,” NBER working paper No 24919.</w:t>
      </w:r>
    </w:p>
    <w:p w14:paraId="5339E496" w14:textId="77777777" w:rsidR="00800654" w:rsidRDefault="00800654" w:rsidP="00F06189">
      <w:pPr>
        <w:pStyle w:val="10"/>
        <w:rPr>
          <w:lang w:val="en-US"/>
        </w:rPr>
      </w:pPr>
    </w:p>
    <w:p w14:paraId="6F03410E" w14:textId="77777777" w:rsidR="00800654" w:rsidRPr="009960CD" w:rsidRDefault="00800654" w:rsidP="00F06189">
      <w:pPr>
        <w:pStyle w:val="10"/>
        <w:rPr>
          <w:lang w:val="en-US"/>
        </w:rPr>
      </w:pPr>
    </w:p>
    <w:p w14:paraId="64D7C8CD" w14:textId="77777777" w:rsidR="00F06189" w:rsidRPr="009960CD" w:rsidRDefault="00F06189" w:rsidP="00F06189">
      <w:pPr>
        <w:pStyle w:val="10"/>
        <w:rPr>
          <w:lang w:val="en-US"/>
        </w:rPr>
      </w:pPr>
    </w:p>
    <w:sectPr w:rsidR="00F06189" w:rsidRPr="009960C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D874B" w16cid:durableId="2056F045"/>
  <w16cid:commentId w16cid:paraId="252BFCB3" w16cid:durableId="205709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46B51" w14:textId="77777777" w:rsidR="0067442C" w:rsidRDefault="0067442C" w:rsidP="00F06189">
      <w:pPr>
        <w:spacing w:after="0" w:line="240" w:lineRule="auto"/>
      </w:pPr>
      <w:r>
        <w:separator/>
      </w:r>
    </w:p>
  </w:endnote>
  <w:endnote w:type="continuationSeparator" w:id="0">
    <w:p w14:paraId="07021801" w14:textId="77777777" w:rsidR="0067442C" w:rsidRDefault="0067442C" w:rsidP="00F0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dcr10">
    <w:altName w:val="Vrinda"/>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exusSans">
    <w:altName w:val="Times New Roman"/>
    <w:charset w:val="00"/>
    <w:family w:val="auto"/>
    <w:pitch w:val="default"/>
  </w:font>
  <w:font w:name="Roboto">
    <w:altName w:val="Times New Roman"/>
    <w:charset w:val="00"/>
    <w:family w:val="auto"/>
    <w:pitch w:val="default"/>
  </w:font>
  <w:font w:name="cmr12">
    <w:altName w:val="Vrinda"/>
    <w:charset w:val="00"/>
    <w:family w:val="swiss"/>
    <w:pitch w:val="variable"/>
    <w:sig w:usb0="00000003" w:usb1="00000000" w:usb2="00000000" w:usb3="00000000" w:csb0="00000001" w:csb1="00000000"/>
  </w:font>
  <w:font w:name="cmmi12">
    <w:altName w:val="Symbol"/>
    <w:charset w:val="02"/>
    <w:family w:val="swiss"/>
    <w:pitch w:val="variable"/>
    <w:sig w:usb0="00000000" w:usb1="10000000" w:usb2="00000000" w:usb3="00000000" w:csb0="80000000" w:csb1="00000000"/>
  </w:font>
  <w:font w:name="cmsy10">
    <w:altName w:val="Vrinda"/>
    <w:charset w:val="00"/>
    <w:family w:val="swiss"/>
    <w:pitch w:val="variable"/>
    <w:sig w:usb0="00000003" w:usb1="00000000" w:usb2="00000000" w:usb3="00000000" w:csb0="00000001" w:csb1="00000000"/>
  </w:font>
  <w:font w:name="PalatinoLTStd-Roman">
    <w:altName w:val="Times New Roman"/>
    <w:panose1 w:val="00000000000000000000"/>
    <w:charset w:val="00"/>
    <w:family w:val="auto"/>
    <w:notTrueType/>
    <w:pitch w:val="default"/>
    <w:sig w:usb0="00000003" w:usb1="00000000" w:usb2="00000000" w:usb3="00000000" w:csb0="00000001" w:csb1="00000000"/>
  </w:font>
  <w:font w:name="ff-more-web-pro">
    <w:altName w:val="Times New Roman"/>
    <w:charset w:val="00"/>
    <w:family w:val="auto"/>
    <w:pitch w:val="default"/>
  </w:font>
  <w:font w:name="dcti10">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2B095" w14:textId="77777777" w:rsidR="0067442C" w:rsidRDefault="0067442C" w:rsidP="00F06189">
      <w:pPr>
        <w:spacing w:after="0" w:line="240" w:lineRule="auto"/>
      </w:pPr>
      <w:r>
        <w:separator/>
      </w:r>
    </w:p>
  </w:footnote>
  <w:footnote w:type="continuationSeparator" w:id="0">
    <w:p w14:paraId="15E1637E" w14:textId="77777777" w:rsidR="0067442C" w:rsidRDefault="0067442C" w:rsidP="00F06189">
      <w:pPr>
        <w:spacing w:after="0" w:line="240" w:lineRule="auto"/>
      </w:pPr>
      <w:r>
        <w:continuationSeparator/>
      </w:r>
    </w:p>
  </w:footnote>
  <w:footnote w:id="1">
    <w:p w14:paraId="2A752B13" w14:textId="15CA7064" w:rsidR="000C0A55" w:rsidRPr="00BF1485" w:rsidRDefault="000C0A55" w:rsidP="00B757A7">
      <w:pPr>
        <w:pStyle w:val="10"/>
        <w:spacing w:line="276" w:lineRule="auto"/>
      </w:pPr>
      <w:r>
        <w:rPr>
          <w:rStyle w:val="Appelnotedebasdep"/>
        </w:rPr>
        <w:footnoteRef/>
      </w:r>
      <w:r>
        <w:t xml:space="preserve"> There has been an already extensive international- trade literature dedicated to the political economy of commercial policy (e.g., tariffs), which is related to our paper. See Grossman and Helpman (1994, 2001), Hillman (1982), Levy (1997) Magee et al (1989) Mayer (1984), Mayer and Li (1994), and Rodrik (1995). Note that our focus in this paper, however,   is on political-economy interactions between globalization (both trade-related and financial-related) and the welfare-state redistributive policies (e.g., labor and capital taxation, and the provision of social benefits. Rodrik (2011) invokes the concept of the political economy trilemma of the world economy, which argues that globalization, national sovereignty, and democracy (the political underpinning of the welfare state) cannot co-exist. </w:t>
      </w:r>
      <w:r w:rsidRPr="00BF1485">
        <w:t>There are pressures which  operate to limit each one  of the three: sovereignty and mass politics work to constrain globalization (e.g., the Bretton Woods world economy with capital controls), globalization and sovereignty constrain  democracy (e.g., post 1978 China), and globalization and democracy lead to limitations upon sovereignty (e.g.,  European Union).</w:t>
      </w:r>
    </w:p>
    <w:p w14:paraId="1095C97C" w14:textId="77777777" w:rsidR="000C0A55" w:rsidRPr="009A3DCD" w:rsidRDefault="000C0A55" w:rsidP="00F32E0D">
      <w:pPr>
        <w:pStyle w:val="Notedebasdepage"/>
        <w:rPr>
          <w:lang w:val="de-DE"/>
        </w:rPr>
      </w:pPr>
    </w:p>
  </w:footnote>
  <w:footnote w:id="2">
    <w:p w14:paraId="25EA55EC" w14:textId="59AEF7F2" w:rsidR="000C0A55" w:rsidRDefault="000C0A55" w:rsidP="0042025A">
      <w:pPr>
        <w:pStyle w:val="Notedebasdepage"/>
      </w:pPr>
      <w:r>
        <w:rPr>
          <w:rStyle w:val="Appelnotedebasdep"/>
        </w:rPr>
        <w:footnoteRef/>
      </w:r>
      <w:r>
        <w:t xml:space="preserve"> They </w:t>
      </w:r>
      <w:r>
        <w:rPr>
          <w:rFonts w:ascii="Arial" w:hAnsi="Arial" w:cs="Arial"/>
          <w:color w:val="1C1D1E"/>
        </w:rPr>
        <w:t>linearly regress the annual growth rate of several social protection indexes of EU members on the level of the social protection indicator at the pre-EU period. They find that the coefficient of the social protection indicator at the pre-EU period is negative.  The coefficient for absolute β</w:t>
      </w:r>
      <w:r>
        <w:rPr>
          <w:rFonts w:ascii="Cambria Math" w:hAnsi="Cambria Math" w:cs="Cambria Math"/>
          <w:color w:val="1C1D1E"/>
        </w:rPr>
        <w:t>‐</w:t>
      </w:r>
      <w:r>
        <w:rPr>
          <w:rFonts w:ascii="Arial" w:hAnsi="Arial" w:cs="Arial"/>
          <w:color w:val="1C1D1E"/>
        </w:rPr>
        <w:t xml:space="preserve">convergence is found also to be negative. This an evidence suggests an absolute convergence (divergence) in social protection levels across countries. </w:t>
      </w:r>
    </w:p>
    <w:p w14:paraId="202C4297" w14:textId="66B51873" w:rsidR="000C0A55" w:rsidRDefault="000C0A55">
      <w:pPr>
        <w:pStyle w:val="Notedebasdepage"/>
      </w:pPr>
    </w:p>
  </w:footnote>
  <w:footnote w:id="3">
    <w:p w14:paraId="0322CFF0" w14:textId="7943F0B3" w:rsidR="000C0A55" w:rsidRDefault="000C0A55" w:rsidP="00E91929">
      <w:pPr>
        <w:pStyle w:val="10"/>
        <w:rPr>
          <w:lang w:val="en-US"/>
        </w:rPr>
      </w:pPr>
      <w:r>
        <w:rPr>
          <w:rStyle w:val="Appelnotedebasdep"/>
        </w:rPr>
        <w:footnoteRef/>
      </w:r>
      <w:r>
        <w:t xml:space="preserve"> </w:t>
      </w:r>
      <w:r>
        <w:rPr>
          <w:lang w:val="en-US"/>
        </w:rPr>
        <w:t>High-</w:t>
      </w:r>
      <w:r w:rsidRPr="006E5681">
        <w:rPr>
          <w:lang w:val="en-US"/>
        </w:rPr>
        <w:t>skill</w:t>
      </w:r>
      <w:r>
        <w:rPr>
          <w:lang w:val="en-US"/>
        </w:rPr>
        <w:t xml:space="preserve">ed </w:t>
      </w:r>
      <w:r w:rsidRPr="006E5681">
        <w:rPr>
          <w:lang w:val="en-US"/>
        </w:rPr>
        <w:t>emigration itself might influence the attitudes of voters towards the generosity of the welfare state.</w:t>
      </w:r>
    </w:p>
    <w:p w14:paraId="7BF78DC4" w14:textId="0D489405" w:rsidR="000C0A55" w:rsidRDefault="000C0A55">
      <w:pPr>
        <w:pStyle w:val="Notedebasdepage"/>
      </w:pPr>
    </w:p>
  </w:footnote>
  <w:footnote w:id="4">
    <w:p w14:paraId="74812C11" w14:textId="30B7AB05" w:rsidR="000C0A55" w:rsidRDefault="000C0A55">
      <w:pPr>
        <w:pStyle w:val="Notedebasdepage"/>
      </w:pPr>
      <w:r>
        <w:rPr>
          <w:rStyle w:val="Appelnotedebasdep"/>
        </w:rPr>
        <w:footnoteRef/>
      </w:r>
      <w:r>
        <w:t xml:space="preserve"> </w:t>
      </w:r>
      <w:r w:rsidRPr="004D0460">
        <w:t>The Economist</w:t>
      </w:r>
      <w:r>
        <w:t xml:space="preserve"> magazine </w:t>
      </w:r>
      <w:r w:rsidRPr="004D0460">
        <w:t>put it succinctly:</w:t>
      </w:r>
      <w:r>
        <w:t xml:space="preserve"> </w:t>
      </w:r>
      <w:r w:rsidRPr="00717344">
        <w:t>“Globalization is a tax problem for three reasons. First, firms have more freedom over where to locate. This will make it harder for a country to tax a business much more heavily than its competitors will. Second, globalization makes it hard to decide where a company should pay tax, regardless of where it is based. This gives them [the companies] plenty of scope to reduce tax bills by shifting operations around or by creating transfer</w:t>
      </w:r>
      <w:r>
        <w:t xml:space="preserve"> </w:t>
      </w:r>
      <w:r w:rsidRPr="00717344">
        <w:t>pricing. Third, globalization nibbles away at the edges of taxes on Individuals. It is harder to tax personal income because skilled professional workers are more mobile than they were two decades ago."</w:t>
      </w:r>
    </w:p>
  </w:footnote>
  <w:footnote w:id="5">
    <w:p w14:paraId="504189A9" w14:textId="77777777" w:rsidR="000C0A55" w:rsidRPr="005A578E" w:rsidRDefault="000C0A55" w:rsidP="005A578E">
      <w:pPr>
        <w:pStyle w:val="Notedebasdepage"/>
      </w:pPr>
      <w:r w:rsidRPr="005A578E">
        <w:footnoteRef/>
      </w:r>
      <w:r w:rsidRPr="005A578E">
        <w:t xml:space="preserve"> Michael Devereux, Rachel Griffith and Alexander Klemm (2002) analyze the development of taxes on corporate income in EU and G7 countries over the 1980s and the 1990sthey establish that tax revenues on profitable investments had fallen. In particular, taxes on income earned by multinational firms are subject to tax competition forces. Additional evidence pertaining to international tax competition for relatively mobile portfolio investments, so that a country with more mobility has lower capital tax rates, is abundant. See empirical support for the hypothesis in Hines (1999), Sorensen (2002), Besley, Griffith and Klemm (2001), Devereux and Griffith (2002), and Lassen and Sorensen (2002), Razin, Sadka, and Nam (2004), and Krautheim and Schmidt-Eisenhor (2011).</w:t>
      </w:r>
    </w:p>
  </w:footnote>
  <w:footnote w:id="6">
    <w:p w14:paraId="7D4AE68B" w14:textId="707541DF" w:rsidR="000C0A55" w:rsidRPr="00F67522" w:rsidRDefault="000C0A55" w:rsidP="00943571">
      <w:pPr>
        <w:autoSpaceDE w:val="0"/>
        <w:autoSpaceDN w:val="0"/>
        <w:adjustRightInd w:val="0"/>
        <w:spacing w:after="0" w:line="240" w:lineRule="auto"/>
        <w:rPr>
          <w:rFonts w:ascii="dcr10" w:hAnsi="dcr10" w:cs="dcr10"/>
          <w:sz w:val="18"/>
          <w:szCs w:val="18"/>
        </w:rPr>
      </w:pPr>
      <w:r>
        <w:rPr>
          <w:rStyle w:val="Appelnotedebasdep"/>
        </w:rPr>
        <w:footnoteRef/>
      </w:r>
      <w:r>
        <w:t xml:space="preserve"> </w:t>
      </w:r>
      <w:r>
        <w:rPr>
          <w:rFonts w:ascii="dcr10" w:hAnsi="dcr10" w:cs="dcr10"/>
          <w:sz w:val="18"/>
          <w:szCs w:val="18"/>
        </w:rPr>
        <w:t>C</w:t>
      </w:r>
      <w:r w:rsidRPr="00F67522">
        <w:rPr>
          <w:rFonts w:ascii="dcr10" w:hAnsi="dcr10" w:cs="dcr10"/>
          <w:sz w:val="18"/>
          <w:szCs w:val="18"/>
        </w:rPr>
        <w:t>alculations based on the well-known work of Hall and Jorgenson (1967)</w:t>
      </w:r>
      <w:r>
        <w:rPr>
          <w:rFonts w:ascii="dcr10" w:hAnsi="dcr10" w:cs="dcr10"/>
          <w:sz w:val="18"/>
          <w:szCs w:val="18"/>
        </w:rPr>
        <w:t>,</w:t>
      </w:r>
      <w:r w:rsidRPr="00F67522">
        <w:rPr>
          <w:rFonts w:ascii="dcr10" w:hAnsi="dcr10" w:cs="dcr10"/>
          <w:sz w:val="18"/>
          <w:szCs w:val="18"/>
        </w:rPr>
        <w:t xml:space="preserve"> who introduced the user cost of capital approach; applied to international data by </w:t>
      </w:r>
      <w:r w:rsidRPr="00F67522">
        <w:rPr>
          <w:rFonts w:ascii="Calibri" w:hAnsi="Calibri" w:cs="Calibri"/>
          <w:sz w:val="18"/>
          <w:szCs w:val="18"/>
        </w:rPr>
        <w:t>King and Fullerton (1984).</w:t>
      </w:r>
      <w:r w:rsidRPr="00F67522">
        <w:rPr>
          <w:rFonts w:ascii="dcr10" w:hAnsi="dcr10" w:cs="dcr10"/>
          <w:sz w:val="18"/>
          <w:szCs w:val="18"/>
        </w:rPr>
        <w:t xml:space="preserve"> Figure 1  follows the formula for the effective tax rate on corporate income </w:t>
      </w:r>
      <w:r w:rsidRPr="00F67522">
        <w:rPr>
          <w:rFonts w:ascii="cmr12" w:hAnsi="cmr12" w:cs="cmr12"/>
          <w:sz w:val="18"/>
          <w:szCs w:val="18"/>
        </w:rPr>
        <w:t>(</w:t>
      </w:r>
      <m:oMath>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e</m:t>
            </m:r>
          </m:sub>
        </m:sSub>
      </m:oMath>
      <w:r w:rsidRPr="00F67522">
        <w:rPr>
          <w:rFonts w:ascii="cmr12" w:hAnsi="cmr12" w:cs="cmr12"/>
          <w:sz w:val="18"/>
          <w:szCs w:val="18"/>
        </w:rPr>
        <w:t>)</w:t>
      </w:r>
      <w:r>
        <w:rPr>
          <w:rFonts w:ascii="cmr12" w:hAnsi="cmr12" w:cs="cmr12"/>
          <w:sz w:val="18"/>
          <w:szCs w:val="18"/>
        </w:rPr>
        <w:t>,</w:t>
      </w:r>
      <w:r>
        <w:rPr>
          <w:rFonts w:ascii="Calibri" w:hAnsi="Calibri" w:cs="Calibri"/>
          <w:sz w:val="18"/>
          <w:szCs w:val="18"/>
        </w:rPr>
        <w:t xml:space="preserve"> </w:t>
      </w:r>
      <w:r w:rsidRPr="00F67522">
        <w:rPr>
          <w:rFonts w:ascii="cmr12" w:hAnsi="cmr12" w:cs="cmr12"/>
          <w:sz w:val="18"/>
          <w:szCs w:val="18"/>
        </w:rPr>
        <w:t>as</w:t>
      </w:r>
      <w:r>
        <w:rPr>
          <w:rFonts w:ascii="Calibri" w:hAnsi="Calibri" w:cs="Calibri"/>
          <w:sz w:val="18"/>
          <w:szCs w:val="18"/>
        </w:rPr>
        <w:t xml:space="preserve"> </w:t>
      </w:r>
      <w:r w:rsidRPr="00F67522">
        <w:rPr>
          <w:rFonts w:ascii="dcr10" w:hAnsi="dcr10" w:cs="dcr10"/>
          <w:sz w:val="18"/>
          <w:szCs w:val="18"/>
        </w:rPr>
        <w:t>refined by Auerbach (1983):</w:t>
      </w:r>
    </w:p>
    <w:p w14:paraId="3D7B4DA5" w14:textId="77777777" w:rsidR="000C0A55" w:rsidRPr="00F67522" w:rsidRDefault="000C0A55" w:rsidP="000B35B7">
      <w:pPr>
        <w:autoSpaceDE w:val="0"/>
        <w:autoSpaceDN w:val="0"/>
        <w:adjustRightInd w:val="0"/>
        <w:spacing w:after="0" w:line="240" w:lineRule="auto"/>
        <w:rPr>
          <w:rFonts w:ascii="dcr10" w:hAnsi="dcr10" w:cs="dcr10"/>
          <w:sz w:val="18"/>
          <w:szCs w:val="18"/>
        </w:rPr>
      </w:pPr>
    </w:p>
    <w:p w14:paraId="3E5E8331" w14:textId="77777777" w:rsidR="000C0A55" w:rsidRPr="00F67522" w:rsidRDefault="0067442C" w:rsidP="000B35B7">
      <w:pPr>
        <w:autoSpaceDE w:val="0"/>
        <w:autoSpaceDN w:val="0"/>
        <w:adjustRightInd w:val="0"/>
        <w:spacing w:after="0" w:line="240" w:lineRule="auto"/>
        <w:rPr>
          <w:rFonts w:ascii="dcr10" w:hAnsi="dcr10" w:cs="dcr10"/>
          <w:sz w:val="18"/>
          <w:szCs w:val="18"/>
        </w:rPr>
      </w:pPr>
      <m:oMathPara>
        <m:oMath>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e</m:t>
              </m:r>
            </m:sub>
          </m:sSub>
          <m:r>
            <w:rPr>
              <w:rFonts w:ascii="Cambria Math" w:hAnsi="Cambria Math" w:cs="dcr10"/>
              <w:sz w:val="18"/>
              <w:szCs w:val="18"/>
            </w:rPr>
            <m:t>=</m:t>
          </m:r>
          <m:f>
            <m:fPr>
              <m:ctrlPr>
                <w:rPr>
                  <w:rFonts w:ascii="Cambria Math" w:hAnsi="Cambria Math" w:cs="dcr10"/>
                  <w:i/>
                  <w:sz w:val="18"/>
                  <w:szCs w:val="18"/>
                </w:rPr>
              </m:ctrlPr>
            </m:fPr>
            <m:num>
              <m:d>
                <m:dPr>
                  <m:ctrlPr>
                    <w:rPr>
                      <w:rFonts w:ascii="Cambria Math" w:hAnsi="Cambria Math" w:cs="dcr10"/>
                      <w:i/>
                      <w:sz w:val="18"/>
                      <w:szCs w:val="18"/>
                    </w:rPr>
                  </m:ctrlPr>
                </m:dPr>
                <m:e>
                  <m:r>
                    <w:rPr>
                      <w:rFonts w:ascii="Cambria Math" w:hAnsi="Cambria Math" w:cs="dcr10"/>
                      <w:sz w:val="18"/>
                      <w:szCs w:val="18"/>
                    </w:rPr>
                    <m:t>r+δ</m:t>
                  </m:r>
                </m:e>
              </m:d>
              <m:d>
                <m:dPr>
                  <m:ctrlPr>
                    <w:rPr>
                      <w:rFonts w:ascii="Cambria Math" w:hAnsi="Cambria Math" w:cs="dcr10"/>
                      <w:i/>
                      <w:sz w:val="18"/>
                      <w:szCs w:val="18"/>
                    </w:rPr>
                  </m:ctrlPr>
                </m:dPr>
                <m:e>
                  <m:r>
                    <w:rPr>
                      <w:rFonts w:ascii="Cambria Math" w:hAnsi="Cambria Math" w:cs="dcr10"/>
                      <w:sz w:val="18"/>
                      <w:szCs w:val="18"/>
                    </w:rPr>
                    <m:t>1-</m:t>
                  </m:r>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s</m:t>
                      </m:r>
                    </m:sub>
                  </m:sSub>
                  <m:r>
                    <w:rPr>
                      <w:rFonts w:ascii="Cambria Math" w:hAnsi="Cambria Math" w:cs="dcr10"/>
                      <w:sz w:val="18"/>
                      <w:szCs w:val="18"/>
                    </w:rPr>
                    <m:t>z</m:t>
                  </m:r>
                </m:e>
              </m:d>
              <m:r>
                <w:rPr>
                  <w:rFonts w:ascii="Cambria Math" w:hAnsi="Cambria Math" w:cs="dcr10"/>
                  <w:sz w:val="18"/>
                  <w:szCs w:val="18"/>
                </w:rPr>
                <m:t>-(r+δ)(1-</m:t>
              </m:r>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s</m:t>
                  </m:r>
                </m:sub>
              </m:sSub>
              <m:r>
                <w:rPr>
                  <w:rFonts w:ascii="Cambria Math" w:hAnsi="Cambria Math" w:cs="dcr10"/>
                  <w:sz w:val="18"/>
                  <w:szCs w:val="18"/>
                </w:rPr>
                <m:t>)</m:t>
              </m:r>
            </m:num>
            <m:den>
              <m:d>
                <m:dPr>
                  <m:ctrlPr>
                    <w:rPr>
                      <w:rFonts w:ascii="Cambria Math" w:hAnsi="Cambria Math" w:cs="dcr10"/>
                      <w:i/>
                      <w:sz w:val="18"/>
                      <w:szCs w:val="18"/>
                    </w:rPr>
                  </m:ctrlPr>
                </m:dPr>
                <m:e>
                  <m:r>
                    <w:rPr>
                      <w:rFonts w:ascii="Cambria Math" w:hAnsi="Cambria Math" w:cs="dcr10"/>
                      <w:sz w:val="18"/>
                      <w:szCs w:val="18"/>
                    </w:rPr>
                    <m:t>r+δ</m:t>
                  </m:r>
                </m:e>
              </m:d>
              <m:d>
                <m:dPr>
                  <m:ctrlPr>
                    <w:rPr>
                      <w:rFonts w:ascii="Cambria Math" w:hAnsi="Cambria Math" w:cs="dcr10"/>
                      <w:i/>
                      <w:sz w:val="18"/>
                      <w:szCs w:val="18"/>
                    </w:rPr>
                  </m:ctrlPr>
                </m:dPr>
                <m:e>
                  <m:r>
                    <w:rPr>
                      <w:rFonts w:ascii="Cambria Math" w:hAnsi="Cambria Math" w:cs="dcr10"/>
                      <w:sz w:val="18"/>
                      <w:szCs w:val="18"/>
                    </w:rPr>
                    <m:t>1-</m:t>
                  </m:r>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s</m:t>
                      </m:r>
                    </m:sub>
                  </m:sSub>
                  <m:r>
                    <w:rPr>
                      <w:rFonts w:ascii="Cambria Math" w:hAnsi="Cambria Math" w:cs="dcr10"/>
                      <w:sz w:val="18"/>
                      <w:szCs w:val="18"/>
                    </w:rPr>
                    <m:t>z</m:t>
                  </m:r>
                </m:e>
              </m:d>
              <m:r>
                <w:rPr>
                  <w:rFonts w:ascii="Cambria Math" w:hAnsi="Cambria Math" w:cs="dcr10"/>
                  <w:sz w:val="18"/>
                  <w:szCs w:val="18"/>
                </w:rPr>
                <m:t>-δ(1-</m:t>
              </m:r>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s</m:t>
                  </m:r>
                </m:sub>
              </m:sSub>
              <m:r>
                <w:rPr>
                  <w:rFonts w:ascii="Cambria Math" w:hAnsi="Cambria Math" w:cs="dcr10"/>
                  <w:sz w:val="18"/>
                  <w:szCs w:val="18"/>
                </w:rPr>
                <m:t>)</m:t>
              </m:r>
            </m:den>
          </m:f>
        </m:oMath>
      </m:oMathPara>
    </w:p>
    <w:p w14:paraId="4ADBB6E2" w14:textId="77777777" w:rsidR="000C0A55" w:rsidRPr="00F67522" w:rsidRDefault="000C0A55" w:rsidP="000B35B7">
      <w:pPr>
        <w:autoSpaceDE w:val="0"/>
        <w:autoSpaceDN w:val="0"/>
        <w:adjustRightInd w:val="0"/>
        <w:spacing w:after="0" w:line="240" w:lineRule="auto"/>
        <w:rPr>
          <w:rFonts w:ascii="dcr10" w:hAnsi="dcr10" w:cs="dcr10"/>
          <w:sz w:val="18"/>
          <w:szCs w:val="18"/>
        </w:rPr>
      </w:pPr>
      <w:r w:rsidRPr="00F67522">
        <w:rPr>
          <w:rFonts w:ascii="dcr10" w:hAnsi="dcr10" w:cs="dcr10"/>
          <w:sz w:val="18"/>
          <w:szCs w:val="18"/>
        </w:rPr>
        <w:t>where</w:t>
      </w:r>
    </w:p>
    <w:p w14:paraId="6A03CBE6" w14:textId="77777777" w:rsidR="000C0A55" w:rsidRPr="00F67522" w:rsidRDefault="000C0A55" w:rsidP="000B35B7">
      <w:pPr>
        <w:autoSpaceDE w:val="0"/>
        <w:autoSpaceDN w:val="0"/>
        <w:adjustRightInd w:val="0"/>
        <w:spacing w:after="0" w:line="240" w:lineRule="auto"/>
        <w:rPr>
          <w:rFonts w:ascii="dcr10" w:hAnsi="dcr10" w:cs="dcr10"/>
          <w:sz w:val="18"/>
          <w:szCs w:val="18"/>
        </w:rPr>
      </w:pPr>
      <w:r w:rsidRPr="00F67522">
        <w:rPr>
          <w:rFonts w:ascii="cmmi12" w:hAnsi="cmmi12" w:cs="cmmi12"/>
          <w:sz w:val="18"/>
          <w:szCs w:val="18"/>
        </w:rPr>
        <w:t></w:t>
      </w:r>
      <w:r w:rsidRPr="00F67522">
        <w:rPr>
          <w:rFonts w:ascii="cmmi12" w:hAnsi="cmmi12" w:cs="cmmi12"/>
          <w:sz w:val="18"/>
          <w:szCs w:val="18"/>
        </w:rPr>
        <w:t></w:t>
      </w:r>
      <w:r w:rsidRPr="00F67522">
        <w:rPr>
          <w:rFonts w:ascii="Arial" w:hAnsi="Arial" w:cs="Arial"/>
          <w:sz w:val="18"/>
          <w:szCs w:val="18"/>
        </w:rPr>
        <w:t>−</w:t>
      </w:r>
      <w:r w:rsidRPr="00A42644">
        <w:rPr>
          <w:rFonts w:ascii="Arial" w:hAnsi="Arial" w:cs="Arial"/>
          <w:sz w:val="18"/>
          <w:szCs w:val="18"/>
        </w:rPr>
        <w:t xml:space="preserve"> </w:t>
      </w:r>
      <w:r w:rsidRPr="008342AE">
        <w:rPr>
          <w:rFonts w:ascii="dcr10" w:hAnsi="dcr10" w:cs="dcr10"/>
          <w:sz w:val="18"/>
          <w:szCs w:val="18"/>
        </w:rPr>
        <w:t>Real</w:t>
      </w:r>
      <w:r w:rsidRPr="00F10C90">
        <w:rPr>
          <w:sz w:val="20"/>
          <w:szCs w:val="20"/>
        </w:rPr>
        <w:t xml:space="preserve"> </w:t>
      </w:r>
      <w:r w:rsidRPr="008342AE">
        <w:rPr>
          <w:rFonts w:ascii="dcr10" w:hAnsi="dcr10" w:cs="dcr10"/>
          <w:sz w:val="18"/>
          <w:szCs w:val="18"/>
        </w:rPr>
        <w:t>cost of funds</w:t>
      </w:r>
      <w:r>
        <w:rPr>
          <w:rFonts w:ascii="Arial" w:hAnsi="Arial" w:cs="Arial"/>
          <w:sz w:val="18"/>
          <w:szCs w:val="18"/>
        </w:rPr>
        <w:t xml:space="preserve"> (</w:t>
      </w:r>
      <w:r w:rsidRPr="00F67522">
        <w:rPr>
          <w:rFonts w:ascii="dcr10" w:hAnsi="dcr10" w:cs="dcr10"/>
          <w:sz w:val="18"/>
          <w:szCs w:val="18"/>
        </w:rPr>
        <w:t>real rate of return the firm must earn after corporate taxes by</w:t>
      </w:r>
      <w:r>
        <w:rPr>
          <w:rFonts w:ascii="dcr10" w:hAnsi="dcr10" w:cs="Times New Roman" w:hint="cs"/>
          <w:sz w:val="18"/>
          <w:szCs w:val="18"/>
          <w:rtl/>
        </w:rPr>
        <w:t xml:space="preserve"> </w:t>
      </w:r>
      <w:r>
        <w:rPr>
          <w:rFonts w:ascii="dcr10" w:hAnsi="dcr10" w:cs="dcr10"/>
          <w:sz w:val="18"/>
          <w:szCs w:val="18"/>
        </w:rPr>
        <w:t xml:space="preserve">the </w:t>
      </w:r>
      <w:r w:rsidRPr="00F67522">
        <w:rPr>
          <w:rFonts w:ascii="dcr10" w:hAnsi="dcr10" w:cs="dcr10"/>
          <w:sz w:val="18"/>
          <w:szCs w:val="18"/>
        </w:rPr>
        <w:t xml:space="preserve">instruction of its shareholders). </w:t>
      </w:r>
    </w:p>
    <w:p w14:paraId="2EB2218E" w14:textId="77777777" w:rsidR="000C0A55" w:rsidRPr="00F67522" w:rsidRDefault="000C0A55" w:rsidP="000B35B7">
      <w:pPr>
        <w:autoSpaceDE w:val="0"/>
        <w:autoSpaceDN w:val="0"/>
        <w:adjustRightInd w:val="0"/>
        <w:spacing w:after="0" w:line="240" w:lineRule="auto"/>
        <w:rPr>
          <w:rFonts w:ascii="dcr10" w:hAnsi="dcr10" w:cs="dcr10"/>
          <w:sz w:val="18"/>
          <w:szCs w:val="18"/>
        </w:rPr>
      </w:pPr>
      <m:oMath>
        <m:r>
          <w:rPr>
            <w:rFonts w:ascii="Cambria Math" w:hAnsi="Cambria Math" w:cs="cmmi12"/>
            <w:sz w:val="18"/>
            <w:szCs w:val="18"/>
          </w:rPr>
          <m:t>δ</m:t>
        </m:r>
      </m:oMath>
      <w:r w:rsidRPr="00F67522">
        <w:rPr>
          <w:rFonts w:ascii="cmmi12" w:hAnsi="cmmi12" w:cs="cmmi12"/>
          <w:sz w:val="18"/>
          <w:szCs w:val="18"/>
        </w:rPr>
        <w:t></w:t>
      </w:r>
      <w:r w:rsidRPr="00F67522">
        <w:rPr>
          <w:rFonts w:ascii="Arial" w:hAnsi="Arial" w:cs="Arial"/>
          <w:sz w:val="18"/>
          <w:szCs w:val="18"/>
        </w:rPr>
        <w:t>−</w:t>
      </w:r>
      <w:r w:rsidRPr="00F67522">
        <w:rPr>
          <w:rFonts w:ascii="cmsy10" w:hAnsi="cmsy10" w:cs="cmsy10"/>
          <w:sz w:val="18"/>
          <w:szCs w:val="18"/>
        </w:rPr>
        <w:t xml:space="preserve"> </w:t>
      </w:r>
      <w:r w:rsidRPr="00F67522">
        <w:rPr>
          <w:rFonts w:ascii="dcr10" w:hAnsi="dcr10" w:cs="dcr10"/>
          <w:sz w:val="18"/>
          <w:szCs w:val="18"/>
        </w:rPr>
        <w:t>physical rate of depreciation (assumed exponential)</w:t>
      </w:r>
    </w:p>
    <w:p w14:paraId="02BE06C0" w14:textId="77777777" w:rsidR="000C0A55" w:rsidRPr="00F67522" w:rsidRDefault="0067442C" w:rsidP="000B35B7">
      <w:pPr>
        <w:autoSpaceDE w:val="0"/>
        <w:autoSpaceDN w:val="0"/>
        <w:adjustRightInd w:val="0"/>
        <w:spacing w:after="0" w:line="240" w:lineRule="auto"/>
        <w:rPr>
          <w:rFonts w:ascii="dcr10" w:hAnsi="dcr10" w:cs="dcr10"/>
          <w:sz w:val="18"/>
          <w:szCs w:val="18"/>
        </w:rPr>
      </w:pPr>
      <m:oMath>
        <m:sSub>
          <m:sSubPr>
            <m:ctrlPr>
              <w:rPr>
                <w:rFonts w:ascii="Cambria Math" w:hAnsi="Cambria Math" w:cs="dcr10"/>
                <w:i/>
                <w:sz w:val="18"/>
                <w:szCs w:val="18"/>
              </w:rPr>
            </m:ctrlPr>
          </m:sSubPr>
          <m:e>
            <m:r>
              <w:rPr>
                <w:rFonts w:ascii="Cambria Math" w:hAnsi="Cambria Math" w:cs="dcr10"/>
                <w:sz w:val="18"/>
                <w:szCs w:val="18"/>
              </w:rPr>
              <m:t>τ</m:t>
            </m:r>
          </m:e>
          <m:sub>
            <m:r>
              <w:rPr>
                <w:rFonts w:ascii="Cambria Math" w:hAnsi="Cambria Math" w:cs="dcr10"/>
                <w:sz w:val="18"/>
                <w:szCs w:val="18"/>
              </w:rPr>
              <m:t>s</m:t>
            </m:r>
          </m:sub>
        </m:sSub>
      </m:oMath>
      <w:r w:rsidR="000C0A55" w:rsidRPr="00F67522">
        <w:rPr>
          <w:rFonts w:ascii="Arial" w:hAnsi="Arial" w:cs="Arial"/>
          <w:sz w:val="18"/>
          <w:szCs w:val="18"/>
        </w:rPr>
        <w:t>−</w:t>
      </w:r>
      <w:r w:rsidR="000C0A55" w:rsidRPr="00F67522">
        <w:rPr>
          <w:rFonts w:ascii="cmsy10" w:hAnsi="cmsy10" w:cs="cmsy10"/>
          <w:sz w:val="18"/>
          <w:szCs w:val="18"/>
        </w:rPr>
        <w:t xml:space="preserve"> </w:t>
      </w:r>
      <w:r w:rsidR="000C0A55" w:rsidRPr="00F67522">
        <w:rPr>
          <w:rFonts w:ascii="dcr10" w:hAnsi="dcr10" w:cs="dcr10"/>
          <w:sz w:val="18"/>
          <w:szCs w:val="18"/>
        </w:rPr>
        <w:t>statutory corporate tax rate</w:t>
      </w:r>
    </w:p>
    <w:p w14:paraId="4F15B623" w14:textId="77777777" w:rsidR="000C0A55" w:rsidRPr="00F67522" w:rsidRDefault="000C0A55" w:rsidP="000B35B7">
      <w:pPr>
        <w:autoSpaceDE w:val="0"/>
        <w:autoSpaceDN w:val="0"/>
        <w:adjustRightInd w:val="0"/>
        <w:spacing w:after="0" w:line="240" w:lineRule="auto"/>
        <w:rPr>
          <w:rFonts w:ascii="dcr10" w:hAnsi="dcr10" w:cs="dcr10"/>
          <w:sz w:val="18"/>
          <w:szCs w:val="18"/>
        </w:rPr>
      </w:pPr>
      <w:r w:rsidRPr="00F67522">
        <w:rPr>
          <w:rFonts w:ascii="cmmi12" w:hAnsi="cmmi12" w:cs="cmmi12"/>
          <w:sz w:val="18"/>
          <w:szCs w:val="18"/>
        </w:rPr>
        <w:t></w:t>
      </w:r>
      <w:r w:rsidRPr="00F67522">
        <w:rPr>
          <w:rFonts w:ascii="cmmi12" w:hAnsi="cmmi12" w:cs="cmmi12"/>
          <w:sz w:val="18"/>
          <w:szCs w:val="18"/>
        </w:rPr>
        <w:t></w:t>
      </w:r>
      <w:r w:rsidRPr="00F67522">
        <w:rPr>
          <w:rFonts w:ascii="Arial" w:hAnsi="Arial" w:cs="Arial"/>
          <w:sz w:val="18"/>
          <w:szCs w:val="18"/>
        </w:rPr>
        <w:t>−</w:t>
      </w:r>
      <w:r w:rsidRPr="00F67522">
        <w:rPr>
          <w:rFonts w:ascii="cmsy10" w:hAnsi="cmsy10" w:cs="cmsy10"/>
          <w:sz w:val="18"/>
          <w:szCs w:val="18"/>
        </w:rPr>
        <w:t xml:space="preserve"> </w:t>
      </w:r>
      <w:r w:rsidRPr="00F67522">
        <w:rPr>
          <w:rFonts w:ascii="dcr10" w:hAnsi="dcr10" w:cs="dcr10"/>
          <w:sz w:val="18"/>
          <w:szCs w:val="18"/>
        </w:rPr>
        <w:t>Present value of depreciation allowances.</w:t>
      </w:r>
    </w:p>
    <w:p w14:paraId="0EF93403" w14:textId="77777777" w:rsidR="000C0A55" w:rsidRPr="00F67522" w:rsidRDefault="000C0A55" w:rsidP="000B35B7">
      <w:pPr>
        <w:pStyle w:val="Notedebasdepage"/>
        <w:rPr>
          <w:sz w:val="18"/>
          <w:szCs w:val="18"/>
        </w:rPr>
      </w:pPr>
    </w:p>
  </w:footnote>
  <w:footnote w:id="7">
    <w:p w14:paraId="29F29B8B" w14:textId="5BD6C6AC" w:rsidR="000C0A55" w:rsidRPr="005A578E" w:rsidRDefault="000C0A55" w:rsidP="003E6471">
      <w:pPr>
        <w:pStyle w:val="Notedebasdepage"/>
      </w:pPr>
      <w:r>
        <w:rPr>
          <w:rStyle w:val="Appelnotedebasdep"/>
        </w:rPr>
        <w:footnoteRef/>
      </w:r>
      <w:r>
        <w:t xml:space="preserve"> Under the source principle of international taxation only income from domestic sources is subject to a tax, whereas foreign-source income is exempt. Under the residence principle, in contrast, resident income is taxed on a worldwide basis. Razin and Sadka (2017) illustrate diagrammatically the efficiency disadvantage of the   equilibrium under the source principle, compared to the residence equilibrium. Because (as in the Diamond-Mirrlees (1971); the  production efficiency proposition) and M the consumption possibilities frontier shrinks under the source principle, relative to the frontier under the residence principle, the latter is more efficient. However, tax revenue collection tends to be larger under the former, because of the existence of tax havens and lack of sufficient international tax coordination. </w:t>
      </w:r>
      <w:r w:rsidRPr="005A578E">
        <w:t>The tax-competition setup of source taxation is more pronounced in so</w:t>
      </w:r>
      <w:r>
        <w:t>u</w:t>
      </w:r>
      <w:r w:rsidRPr="005A578E">
        <w:t>rce-taxation than in residence taxation .Note, for instance, that tax competition has little influence on capital taxation under the residence principle with cross-country information sharing.</w:t>
      </w:r>
    </w:p>
    <w:p w14:paraId="44CAC1F4" w14:textId="77777777" w:rsidR="000C0A55" w:rsidRDefault="000C0A55" w:rsidP="0044467B">
      <w:pPr>
        <w:pStyle w:val="Notedebasdepage"/>
      </w:pPr>
    </w:p>
  </w:footnote>
  <w:footnote w:id="8">
    <w:p w14:paraId="067174DB" w14:textId="77777777" w:rsidR="000C0A55" w:rsidRDefault="000C0A55" w:rsidP="0044467B">
      <w:pPr>
        <w:pStyle w:val="Notedebasdepage"/>
      </w:pPr>
      <w:r>
        <w:rPr>
          <w:rStyle w:val="Appelnotedebasdep"/>
        </w:rPr>
        <w:footnoteRef/>
      </w:r>
      <w:r>
        <w:t xml:space="preserve"> This cost may generate home bias of investment, as in the case of information asymmetry. See Razin, Sadka, and Yuen (1998). T</w:t>
      </w:r>
      <w:r w:rsidRPr="00424320">
        <w:rPr>
          <w:rFonts w:ascii="PalatinoLTStd-Roman" w:hAnsi="PalatinoLTStd-Roman" w:cs="PalatinoLTStd-Roman"/>
        </w:rPr>
        <w:t xml:space="preserve">he parameter </w:t>
      </w:r>
      <m:oMath>
        <m:sSub>
          <m:sSubPr>
            <m:ctrlPr>
              <w:rPr>
                <w:rFonts w:ascii="Cambria Math" w:hAnsi="Cambria Math" w:cs="PalatinoLTStd-Roman"/>
              </w:rPr>
            </m:ctrlPr>
          </m:sSubPr>
          <m:e>
            <m:r>
              <w:rPr>
                <w:rFonts w:ascii="Cambria Math" w:hAnsi="Cambria Math" w:cs="PalatinoLTStd-Roman"/>
              </w:rPr>
              <m:t>δ</m:t>
            </m:r>
          </m:e>
          <m:sub>
            <m:r>
              <w:rPr>
                <w:rFonts w:ascii="Cambria Math" w:hAnsi="Cambria Math" w:cs="PalatinoLTStd-Roman"/>
              </w:rPr>
              <m:t>k</m:t>
            </m:r>
          </m:sub>
        </m:sSub>
      </m:oMath>
      <w:r w:rsidRPr="00424320">
        <w:rPr>
          <w:rFonts w:ascii="PalatinoLTStd-Roman" w:hAnsi="PalatinoLTStd-Roman" w:cs="PalatinoLTStd-Roman"/>
        </w:rPr>
        <w:t xml:space="preserve"> captures (albeit in a </w:t>
      </w:r>
      <w:r>
        <w:rPr>
          <w:rFonts w:ascii="PalatinoLTStd-Roman" w:hAnsi="PalatinoLTStd-Roman" w:cs="PalatinoLTStd-Roman"/>
        </w:rPr>
        <w:t>reduced form</w:t>
      </w:r>
      <w:r w:rsidRPr="00424320">
        <w:rPr>
          <w:rFonts w:ascii="PalatinoLTStd-Roman" w:hAnsi="PalatinoLTStd-Roman" w:cs="PalatinoLTStd-Roman"/>
        </w:rPr>
        <w:t>) a group of frictions, contractual and informational.</w:t>
      </w:r>
      <w:r>
        <w:rPr>
          <w:rFonts w:eastAsiaTheme="minorEastAsia"/>
        </w:rPr>
        <w:t xml:space="preserve"> </w:t>
      </w:r>
      <w:r>
        <w:rPr>
          <w:rFonts w:ascii="PalatinoLTStd-Roman" w:hAnsi="PalatinoLTStd-Roman" w:cs="PalatinoLTStd-Roman"/>
        </w:rPr>
        <w:t>Such frictions, which affect the volume and the composition and the volatility of international capital flows, cause deviations from the “law of one rate of return”.  As an example, foreign direct investors get more efficient outcomes than foreign portfolio investors do. The reason is that foreign direct investors have direct control over management. Thus, they are able to make a better-informed decision of how to run the business. However, the better information mires FDI investors with the “lemons” problem: If the investors’ liquidity in the source country dries up, forcing the investors to sell off their foreign subsidiaries, market participants would not know whether the subsidiary is liquidated because of the investors’ liquidity problems,  or because of bad inside information about the profitability of the subsidiary. Consequently, the market will place a discount on assets sold by an FDI investor, who has the inside information, unlike the foreign portfolio investment, which has no inside information about profitability of the investment. The “law of one rate of return” is not applicable to foreign direct investment because of the “lemon problem”. See Goldstein and Razin (2006).</w:t>
      </w:r>
    </w:p>
  </w:footnote>
  <w:footnote w:id="9">
    <w:p w14:paraId="2EB86801" w14:textId="03C80618" w:rsidR="000C0A55" w:rsidRDefault="000C0A55" w:rsidP="0095261B">
      <w:pPr>
        <w:pStyle w:val="Notedebasdepage"/>
      </w:pPr>
      <w:r>
        <w:rPr>
          <w:rStyle w:val="Appelnotedebasdep"/>
        </w:rPr>
        <w:footnoteRef/>
      </w:r>
      <w:r>
        <w:t xml:space="preserve"> This is an extension of a model developed in (Razin and Sadka (2018).</w:t>
      </w:r>
    </w:p>
  </w:footnote>
  <w:footnote w:id="10">
    <w:p w14:paraId="2A7B9E5D" w14:textId="0761221B" w:rsidR="000C0A55" w:rsidRPr="00C82996" w:rsidRDefault="000C0A55" w:rsidP="001F7AB5">
      <w:pPr>
        <w:autoSpaceDE w:val="0"/>
        <w:autoSpaceDN w:val="0"/>
        <w:adjustRightInd w:val="0"/>
        <w:spacing w:after="0" w:line="480" w:lineRule="auto"/>
        <w:jc w:val="both"/>
        <w:rPr>
          <w:rFonts w:ascii="NexusSans" w:hAnsi="NexusSans" w:cs="Arial"/>
          <w:color w:val="505050"/>
          <w:lang w:val="en"/>
        </w:rPr>
      </w:pPr>
      <w:r>
        <w:rPr>
          <w:rStyle w:val="Appelnotedebasdep"/>
        </w:rPr>
        <w:footnoteRef/>
      </w:r>
      <w:r>
        <w:t xml:space="preserve"> </w:t>
      </w:r>
      <w:r>
        <w:rPr>
          <w:rFonts w:ascii="NexusSans" w:hAnsi="NexusSans" w:cs="Arial"/>
          <w:color w:val="505050"/>
          <w:lang w:val="en"/>
        </w:rPr>
        <w:t>By the Lerner  Symmetry proposition, any wedge between the domestic and the world prices applied to importables, is equivalent to a wedge between world and domestic  prices applied to exportables.</w:t>
      </w:r>
    </w:p>
    <w:p w14:paraId="54749BB1" w14:textId="5AEA91C4" w:rsidR="000C0A55" w:rsidRPr="001F7AB5" w:rsidRDefault="000C0A55">
      <w:pPr>
        <w:pStyle w:val="Notedebasdepage"/>
        <w:rPr>
          <w:lang w:val="en"/>
        </w:rPr>
      </w:pPr>
    </w:p>
  </w:footnote>
  <w:footnote w:id="11">
    <w:p w14:paraId="10C5C920" w14:textId="4B5E74CD" w:rsidR="000C0A55" w:rsidRDefault="000C0A55" w:rsidP="00F3310F">
      <w:pPr>
        <w:pStyle w:val="Notedebasdepage"/>
      </w:pPr>
      <w:r>
        <w:rPr>
          <w:rStyle w:val="Appelnotedebasdep"/>
        </w:rPr>
        <w:footnoteRef/>
      </w:r>
      <w:r>
        <w:t xml:space="preserve">  In our model,   the redistribution made by the welfare state is in the form of an in-kind benefit.</w:t>
      </w:r>
    </w:p>
  </w:footnote>
  <w:footnote w:id="12">
    <w:p w14:paraId="0F4FDC79" w14:textId="77777777" w:rsidR="000C0A55" w:rsidRPr="0029570D" w:rsidRDefault="000C0A55" w:rsidP="0029570D">
      <w:pPr>
        <w:pStyle w:val="10"/>
      </w:pPr>
      <w:r>
        <w:rPr>
          <w:rStyle w:val="Appelnotedebasdep"/>
        </w:rPr>
        <w:footnoteRef/>
      </w:r>
      <w:r>
        <w:t xml:space="preserve"> </w:t>
      </w:r>
      <w:r w:rsidRPr="0029570D">
        <w:t>Schott (2003) points to failure of existing attempts to ﬁnd support for the idea that a country’s endowments determine its production and trade. These attempts  have traditionally focused on the overly restrictive, “one size ﬁts all” equilibrium of Heckscher-Ohlin (HO) trade theory. In this view all countries of the world producing all goods, so that both Japan and the Philippines, for example, are assumed to produce identical electronics and apparel goods using the same techniques. A second, far richer equilibrium is possible within the framework, however, in which  countries specialize in the particular subset of goods most suited to their mix of endowments, so that relatively labor-abundant Philippines might produce labor intensive t-shirts and portable radios while capital-abundant Japan manufactures capital intensive semiconductors and satellites. Schott (2003) develops a methodology and provides evidence in support of a full-specialization, Heckscher-Ohlin equilibrium.</w:t>
      </w:r>
    </w:p>
    <w:p w14:paraId="6ABBB093" w14:textId="5571A6CB" w:rsidR="000C0A55" w:rsidRPr="0029570D" w:rsidRDefault="000C0A55">
      <w:pPr>
        <w:pStyle w:val="Notedebasdepage"/>
        <w:rPr>
          <w:lang w:val="de-DE"/>
        </w:rPr>
      </w:pPr>
    </w:p>
  </w:footnote>
  <w:footnote w:id="13">
    <w:p w14:paraId="7C6CF812" w14:textId="7DF080EE" w:rsidR="000C0A55" w:rsidRDefault="000C0A55" w:rsidP="00191F7F">
      <w:pPr>
        <w:pStyle w:val="Notedebasdepage"/>
      </w:pPr>
      <w:r>
        <w:rPr>
          <w:rStyle w:val="Appelnotedebasdep"/>
        </w:rPr>
        <w:footnoteRef/>
      </w:r>
      <w:r>
        <w:t xml:space="preserve"> The levels of </w:t>
      </w:r>
      <m:oMath>
        <m:sSub>
          <m:sSubPr>
            <m:ctrlPr>
              <w:rPr>
                <w:rFonts w:ascii="Cambria Math" w:eastAsiaTheme="minorEastAsia" w:hAnsi="Cambria Math" w:cs="Times New Roman"/>
                <w:i/>
                <w:sz w:val="24"/>
                <w:szCs w:val="24"/>
                <w:lang w:val="de-DE" w:bidi="ar-SA"/>
              </w:rPr>
            </m:ctrlPr>
          </m:sSubPr>
          <m:e>
            <m:r>
              <w:rPr>
                <w:rFonts w:ascii="Cambria Math" w:hAnsi="Cambria Math"/>
              </w:rPr>
              <m:t>δ</m:t>
            </m:r>
          </m:e>
          <m:sub>
            <m:r>
              <w:rPr>
                <w:rFonts w:ascii="Cambria Math" w:hAnsi="Cambria Math"/>
              </w:rPr>
              <m:t>y</m:t>
            </m:r>
          </m:sub>
        </m:sSub>
      </m:oMath>
      <w:r>
        <w:rPr>
          <w:rFonts w:eastAsiaTheme="minorEastAsia"/>
          <w:sz w:val="24"/>
          <w:szCs w:val="24"/>
          <w:lang w:val="de-DE" w:bidi="ar-SA"/>
        </w:rPr>
        <w:t xml:space="preserve"> </w:t>
      </w:r>
      <w:r w:rsidRPr="005A578E">
        <w:t>for which there is autarky when the skilled form the majority in the welfare state does not appear in the figure.</w:t>
      </w:r>
    </w:p>
  </w:footnote>
  <w:footnote w:id="14">
    <w:p w14:paraId="18959B7F" w14:textId="0B98BF53" w:rsidR="000C0A55" w:rsidRPr="005A578E" w:rsidRDefault="000C0A55" w:rsidP="006A156D">
      <w:pPr>
        <w:rPr>
          <w:sz w:val="20"/>
          <w:szCs w:val="20"/>
        </w:rPr>
      </w:pPr>
      <w:r>
        <w:rPr>
          <w:rStyle w:val="Appelnotedebasdep"/>
        </w:rPr>
        <w:footnoteRef/>
      </w:r>
      <w:r>
        <w:t xml:space="preserve"> </w:t>
      </w:r>
      <w:r w:rsidRPr="005A578E">
        <w:rPr>
          <w:sz w:val="20"/>
          <w:szCs w:val="20"/>
        </w:rPr>
        <w:t xml:space="preserve">With full specialization, the factor price ratio, w/r, becomes constant. That is with further changes in </w:t>
      </w:r>
      <m:oMath>
        <m:sSub>
          <m:sSubPr>
            <m:ctrlPr>
              <w:rPr>
                <w:rFonts w:ascii="Cambria Math" w:hAnsi="Cambria Math"/>
                <w:sz w:val="20"/>
                <w:szCs w:val="20"/>
              </w:rPr>
            </m:ctrlPr>
          </m:sSubPr>
          <m:e>
            <m:r>
              <w:rPr>
                <w:rFonts w:ascii="Cambria Math" w:hAnsi="Cambria Math"/>
                <w:sz w:val="20"/>
                <w:szCs w:val="20"/>
              </w:rPr>
              <m:t>δ</m:t>
            </m:r>
          </m:e>
          <m:sub>
            <m:r>
              <w:rPr>
                <w:rFonts w:ascii="Cambria Math" w:hAnsi="Cambria Math"/>
                <w:sz w:val="20"/>
                <w:szCs w:val="20"/>
              </w:rPr>
              <m:t>K</m:t>
            </m:r>
          </m:sub>
        </m:sSub>
      </m:oMath>
      <w:r w:rsidRPr="005A578E">
        <w:rPr>
          <w:sz w:val="20"/>
          <w:szCs w:val="20"/>
        </w:rPr>
        <w:t xml:space="preserve"> w and r increase by the same proportions, and the intertemporal price that drives saving and capital formation is flat. Therefore, the output of exportable y reaches its upper limit and becomes flat as well. With full specialization, the value of output is py. From Cobb Douglas preferences, agents have constant expenditure shares. That is, price-weighted consumption of exportable is a fraction  </w:t>
      </w:r>
      <m:oMath>
        <m:r>
          <m:rPr>
            <m:sty m:val="p"/>
          </m:rPr>
          <w:rPr>
            <w:rFonts w:ascii="Cambria Math" w:hAnsi="Cambria Math"/>
            <w:sz w:val="20"/>
            <w:szCs w:val="20"/>
          </w:rPr>
          <m:t>∅</m:t>
        </m:r>
      </m:oMath>
      <w:r w:rsidRPr="005A578E">
        <w:rPr>
          <w:sz w:val="20"/>
          <w:szCs w:val="20"/>
        </w:rPr>
        <w:t xml:space="preserve">  of value of output </w:t>
      </w:r>
      <m:oMath>
        <m:sSub>
          <m:sSubPr>
            <m:ctrlPr>
              <w:rPr>
                <w:rFonts w:ascii="Cambria Math" w:hAnsi="Cambria Math"/>
                <w:sz w:val="20"/>
                <w:szCs w:val="20"/>
              </w:rPr>
            </m:ctrlPr>
          </m:sSubPr>
          <m:e>
            <m:r>
              <w:rPr>
                <w:rFonts w:ascii="Cambria Math" w:hAnsi="Cambria Math"/>
                <w:sz w:val="20"/>
                <w:szCs w:val="20"/>
              </w:rPr>
              <m:t>pc</m:t>
            </m:r>
          </m:e>
          <m:sub>
            <m:r>
              <w:rPr>
                <w:rFonts w:ascii="Cambria Math" w:hAnsi="Cambria Math"/>
                <w:sz w:val="20"/>
                <w:szCs w:val="20"/>
              </w:rPr>
              <m:t>y</m:t>
            </m:r>
          </m:sub>
        </m:sSub>
      </m:oMath>
      <w:r w:rsidRPr="005A578E">
        <w:rPr>
          <w:sz w:val="20"/>
          <w:szCs w:val="20"/>
        </w:rPr>
        <w:t xml:space="preserve">= </w:t>
      </w:r>
      <m:oMath>
        <m:r>
          <m:rPr>
            <m:sty m:val="p"/>
          </m:rPr>
          <w:rPr>
            <w:rFonts w:ascii="Cambria Math" w:hAnsi="Cambria Math"/>
            <w:sz w:val="20"/>
            <w:szCs w:val="20"/>
          </w:rPr>
          <m:t>∅</m:t>
        </m:r>
        <m:r>
          <w:rPr>
            <w:rFonts w:ascii="Cambria Math" w:hAnsi="Cambria Math"/>
            <w:sz w:val="20"/>
            <w:szCs w:val="20"/>
          </w:rPr>
          <m:t>py</m:t>
        </m:r>
      </m:oMath>
      <w:r w:rsidRPr="005A578E">
        <w:rPr>
          <w:sz w:val="20"/>
          <w:szCs w:val="20"/>
        </w:rPr>
        <w:t xml:space="preserve">, implying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y</m:t>
            </m:r>
          </m:sub>
        </m:sSub>
      </m:oMath>
      <w:r w:rsidRPr="005A578E">
        <w:rPr>
          <w:sz w:val="20"/>
          <w:szCs w:val="20"/>
        </w:rPr>
        <w:t xml:space="preserve">= </w:t>
      </w:r>
      <m:oMath>
        <m:r>
          <m:rPr>
            <m:sty m:val="p"/>
          </m:rPr>
          <w:rPr>
            <w:rFonts w:ascii="Cambria Math" w:hAnsi="Cambria Math"/>
            <w:sz w:val="20"/>
            <w:szCs w:val="20"/>
          </w:rPr>
          <m:t>∅</m:t>
        </m:r>
        <m:r>
          <w:rPr>
            <w:rFonts w:ascii="Cambria Math" w:hAnsi="Cambria Math"/>
            <w:sz w:val="20"/>
            <w:szCs w:val="20"/>
          </w:rPr>
          <m:t>y</m:t>
        </m:r>
      </m:oMath>
      <w:r w:rsidRPr="005A578E">
        <w:rPr>
          <w:sz w:val="20"/>
          <w:szCs w:val="20"/>
        </w:rPr>
        <w:t xml:space="preserve">. Therefore, if y reaches the upper limit and becomes constant with respect to further changes in </w:t>
      </w:r>
      <m:oMath>
        <m:sSub>
          <m:sSubPr>
            <m:ctrlPr>
              <w:rPr>
                <w:rFonts w:ascii="Cambria Math" w:hAnsi="Cambria Math"/>
                <w:sz w:val="20"/>
                <w:szCs w:val="20"/>
              </w:rPr>
            </m:ctrlPr>
          </m:sSubPr>
          <m:e>
            <m:r>
              <w:rPr>
                <w:rFonts w:ascii="Cambria Math" w:hAnsi="Cambria Math"/>
                <w:sz w:val="20"/>
                <w:szCs w:val="20"/>
              </w:rPr>
              <m:t>δ</m:t>
            </m:r>
          </m:e>
          <m:sub>
            <m:r>
              <w:rPr>
                <w:rFonts w:ascii="Cambria Math" w:hAnsi="Cambria Math"/>
                <w:sz w:val="20"/>
                <w:szCs w:val="20"/>
              </w:rPr>
              <m:t>K</m:t>
            </m:r>
          </m:sub>
        </m:sSub>
      </m:oMath>
      <w:r w:rsidRPr="005A578E">
        <w:rPr>
          <w:sz w:val="20"/>
          <w:szCs w:val="20"/>
        </w:rPr>
        <w:t xml:space="preserve">   ,   </w:t>
      </w: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y</m:t>
            </m:r>
          </m:sub>
        </m:sSub>
      </m:oMath>
      <w:r w:rsidRPr="005A578E">
        <w:rPr>
          <w:sz w:val="20"/>
          <w:szCs w:val="20"/>
        </w:rPr>
        <w:t xml:space="preserve">  and exports,   </w:t>
      </w:r>
      <m:oMath>
        <m:sSub>
          <m:sSubPr>
            <m:ctrlPr>
              <w:rPr>
                <w:rFonts w:ascii="Cambria Math" w:hAnsi="Cambria Math"/>
                <w:sz w:val="20"/>
                <w:szCs w:val="20"/>
              </w:rPr>
            </m:ctrlPr>
          </m:sSubPr>
          <m:e>
            <m:r>
              <w:rPr>
                <w:rFonts w:ascii="Cambria Math" w:hAnsi="Cambria Math"/>
                <w:sz w:val="20"/>
                <w:szCs w:val="20"/>
              </w:rPr>
              <m:t>y</m:t>
            </m:r>
            <m:r>
              <m:rPr>
                <m:sty m:val="p"/>
              </m:rPr>
              <w:rPr>
                <w:rFonts w:ascii="Cambria Math" w:hAnsi="Cambria Math"/>
                <w:sz w:val="20"/>
                <w:szCs w:val="20"/>
              </w:rPr>
              <m:t xml:space="preserve">- </m:t>
            </m:r>
            <m:r>
              <w:rPr>
                <w:rFonts w:ascii="Cambria Math" w:hAnsi="Cambria Math"/>
                <w:sz w:val="20"/>
                <w:szCs w:val="20"/>
              </w:rPr>
              <m:t>c</m:t>
            </m:r>
          </m:e>
          <m:sub>
            <m:r>
              <w:rPr>
                <w:rFonts w:ascii="Cambria Math" w:hAnsi="Cambria Math"/>
                <w:sz w:val="20"/>
                <w:szCs w:val="20"/>
              </w:rPr>
              <m:t>y</m:t>
            </m:r>
          </m:sub>
        </m:sSub>
        <m:r>
          <m:rPr>
            <m:sty m:val="p"/>
          </m:rPr>
          <w:rPr>
            <w:rFonts w:ascii="Cambria Math" w:hAnsi="Cambria Math"/>
            <w:sz w:val="20"/>
            <w:szCs w:val="20"/>
          </w:rPr>
          <m:t xml:space="preserve"> </m:t>
        </m:r>
      </m:oMath>
      <w:r w:rsidRPr="005A578E">
        <w:rPr>
          <w:sz w:val="20"/>
          <w:szCs w:val="20"/>
        </w:rPr>
        <w:t>, become flat   as well.</w:t>
      </w:r>
    </w:p>
    <w:p w14:paraId="5590E31E" w14:textId="05CE439F" w:rsidR="000C0A55" w:rsidRDefault="000C0A55">
      <w:pPr>
        <w:pStyle w:val="Notedebasdepage"/>
      </w:pPr>
    </w:p>
  </w:footnote>
  <w:footnote w:id="15">
    <w:p w14:paraId="6F872360" w14:textId="2BC298AA" w:rsidR="000C0A55" w:rsidRDefault="000C0A55">
      <w:pPr>
        <w:pStyle w:val="Notedebasdepage"/>
      </w:pPr>
      <w:r>
        <w:rPr>
          <w:rStyle w:val="Appelnotedebasdep"/>
        </w:rPr>
        <w:footnoteRef/>
      </w:r>
      <w:r>
        <w:t xml:space="preserve"> In the parameter values employed in the simulations, there is no complete specialization when the unskilled form the majority in the welfare state even when there is no trade impediment (</w:t>
      </w:r>
      <m:oMath>
        <m:sSub>
          <m:sSubPr>
            <m:ctrlPr>
              <w:rPr>
                <w:rFonts w:ascii="Cambria Math" w:eastAsiaTheme="minorEastAsia" w:hAnsi="Cambria Math" w:cs="Times New Roman"/>
                <w:i/>
                <w:sz w:val="24"/>
                <w:szCs w:val="24"/>
                <w:lang w:val="de-DE" w:bidi="ar-SA"/>
              </w:rPr>
            </m:ctrlPr>
          </m:sSubPr>
          <m:e>
            <m:r>
              <w:rPr>
                <w:rFonts w:ascii="Cambria Math" w:hAnsi="Cambria Math"/>
              </w:rPr>
              <m:t>δ</m:t>
            </m:r>
          </m:e>
          <m:sub>
            <m:r>
              <w:rPr>
                <w:rFonts w:ascii="Cambria Math" w:hAnsi="Cambria Math"/>
              </w:rPr>
              <m:t>y</m:t>
            </m:r>
          </m:sub>
        </m:sSub>
        <m:r>
          <w:rPr>
            <w:rFonts w:ascii="Cambria Math" w:eastAsiaTheme="minorEastAsia" w:hAnsi="Cambria Math" w:cs="Times New Roman"/>
            <w:sz w:val="24"/>
            <w:szCs w:val="24"/>
            <w:lang w:val="de-DE" w:bidi="ar-SA"/>
          </w:rPr>
          <m:t>=0</m:t>
        </m:r>
      </m:oMath>
      <w:r>
        <w:rPr>
          <w:rFonts w:eastAsiaTheme="minorEastAsia"/>
          <w:sz w:val="24"/>
          <w:szCs w:val="24"/>
          <w:lang w:val="de-DE" w:bidi="ar-SA"/>
        </w:rPr>
        <w:t>).</w:t>
      </w:r>
    </w:p>
  </w:footnote>
  <w:footnote w:id="16">
    <w:p w14:paraId="3EF3CA92" w14:textId="10BB2A98" w:rsidR="000C0A55" w:rsidRDefault="000C0A55" w:rsidP="00EA3F1D">
      <w:pPr>
        <w:pStyle w:val="Notedebasdepage"/>
      </w:pPr>
      <w:r>
        <w:rPr>
          <w:rStyle w:val="Appelnotedebasdep"/>
        </w:rPr>
        <w:footnoteRef/>
      </w:r>
      <w:r>
        <w:t xml:space="preserve"> One may wonder why there are still tax and social benefit  changes in the economy in the l autarky state as  </w:t>
      </w:r>
      <m:oMath>
        <m:sSub>
          <m:sSubPr>
            <m:ctrlPr>
              <w:rPr>
                <w:rFonts w:ascii="Cambria Math" w:hAnsi="Cambria Math"/>
              </w:rPr>
            </m:ctrlPr>
          </m:sSubPr>
          <m:e>
            <m:r>
              <w:rPr>
                <w:rFonts w:ascii="Cambria Math" w:hAnsi="Cambria Math"/>
              </w:rPr>
              <m:t>δ</m:t>
            </m:r>
          </m:e>
          <m:sub>
            <m:r>
              <w:rPr>
                <w:rFonts w:ascii="Cambria Math" w:hAnsi="Cambria Math"/>
              </w:rPr>
              <m:t>k</m:t>
            </m:r>
          </m:sub>
        </m:sSub>
      </m:oMath>
      <w:r>
        <w:t xml:space="preserve"> falls, for the welfare state regime. The reason is that the pure market forces (indicated by the graph  of when the welfare state is  shut off) are leading to greater exports. The welfare state reacts in the presence of such market pressures by levying taxes and providing social benefits which exports for a range of values of  </w:t>
      </w:r>
      <m:oMath>
        <m:sSub>
          <m:sSubPr>
            <m:ctrlPr>
              <w:rPr>
                <w:rFonts w:ascii="Cambria Math" w:hAnsi="Cambria Math"/>
              </w:rPr>
            </m:ctrlPr>
          </m:sSubPr>
          <m:e>
            <m:r>
              <w:rPr>
                <w:rFonts w:ascii="Cambria Math" w:hAnsi="Cambria Math"/>
              </w:rPr>
              <m:t>δ</m:t>
            </m:r>
          </m:e>
          <m:sub>
            <m:r>
              <w:rPr>
                <w:rFonts w:ascii="Cambria Math" w:hAnsi="Cambria Math"/>
              </w:rPr>
              <m:t>k</m:t>
            </m:r>
          </m:sub>
        </m:sSub>
      </m:oMath>
      <w:r>
        <w:t xml:space="preserve"> , until its value  is sufficiently low. At this point, the welfare state  gives in to  the “market forces” , and exports begin to  rise. </w:t>
      </w:r>
    </w:p>
    <w:p w14:paraId="0491A0DB" w14:textId="36F70E7E" w:rsidR="000C0A55" w:rsidRDefault="000C0A55">
      <w:pPr>
        <w:pStyle w:val="Notedebasdepage"/>
      </w:pPr>
    </w:p>
  </w:footnote>
  <w:footnote w:id="17">
    <w:p w14:paraId="54BA5102" w14:textId="3B3D2FDA" w:rsidR="000C0A55" w:rsidRDefault="000C0A55" w:rsidP="00C9024A">
      <w:pPr>
        <w:pStyle w:val="Notedebasdepage"/>
      </w:pPr>
      <w:r>
        <w:rPr>
          <w:rStyle w:val="Appelnotedebasdep"/>
        </w:rPr>
        <w:footnoteRef/>
      </w:r>
      <w:r>
        <w:t xml:space="preserve"> Mayer (1984) analyzes endogenous commercial policies that the median voter chooses based on the capital and wage he/she is endowed with.</w:t>
      </w:r>
    </w:p>
  </w:footnote>
  <w:footnote w:id="18">
    <w:p w14:paraId="5300588B" w14:textId="4C57A264" w:rsidR="000C0A55" w:rsidRDefault="000C0A55" w:rsidP="00EA3F1D">
      <w:pPr>
        <w:pStyle w:val="Notedebasdepage"/>
      </w:pPr>
      <w:r>
        <w:rPr>
          <w:rStyle w:val="Appelnotedebasdep"/>
        </w:rPr>
        <w:footnoteRef/>
      </w:r>
      <w:r>
        <w:t xml:space="preserve"> One may wonder why there are still changes in the economy in the financial autarky state as  </w:t>
      </w:r>
      <m:oMath>
        <m:sSub>
          <m:sSubPr>
            <m:ctrlPr>
              <w:rPr>
                <w:rFonts w:ascii="Cambria Math" w:hAnsi="Cambria Math"/>
              </w:rPr>
            </m:ctrlPr>
          </m:sSubPr>
          <m:e>
            <m:r>
              <w:rPr>
                <w:rFonts w:ascii="Cambria Math" w:hAnsi="Cambria Math"/>
              </w:rPr>
              <m:t>δ</m:t>
            </m:r>
          </m:e>
          <m:sub>
            <m:r>
              <w:rPr>
                <w:rFonts w:ascii="Cambria Math" w:hAnsi="Cambria Math"/>
              </w:rPr>
              <m:t>k</m:t>
            </m:r>
          </m:sub>
        </m:sSub>
      </m:oMath>
      <w:r>
        <w:t xml:space="preserve"> falls, for the welfare state regime. The reason is that the pure market forces (indicated by the graph  of when the welfare state is shut off) are leading to capital imports. The welfare state reacts in the presence of such market pressures by levying taxes and providing social benefits which curtail imports of capital for a range of values of  </w:t>
      </w:r>
      <m:oMath>
        <m:sSub>
          <m:sSubPr>
            <m:ctrlPr>
              <w:rPr>
                <w:rFonts w:ascii="Cambria Math" w:hAnsi="Cambria Math"/>
              </w:rPr>
            </m:ctrlPr>
          </m:sSubPr>
          <m:e>
            <m:r>
              <w:rPr>
                <w:rFonts w:ascii="Cambria Math" w:hAnsi="Cambria Math"/>
              </w:rPr>
              <m:t>δ</m:t>
            </m:r>
          </m:e>
          <m:sub>
            <m:r>
              <w:rPr>
                <w:rFonts w:ascii="Cambria Math" w:hAnsi="Cambria Math"/>
              </w:rPr>
              <m:t>k</m:t>
            </m:r>
          </m:sub>
        </m:sSub>
      </m:oMath>
      <w:r>
        <w:t xml:space="preserve"> , until its value  is sufficiently low. At this point the welfare state gives  in to  the “market forces” , and capital start coming 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C0E86"/>
    <w:multiLevelType w:val="hybridMultilevel"/>
    <w:tmpl w:val="30826252"/>
    <w:lvl w:ilvl="0" w:tplc="8ABE0B34">
      <w:start w:val="1"/>
      <w:numFmt w:val="lowerLetter"/>
      <w:lvlText w:val="(%1)"/>
      <w:lvlJc w:val="left"/>
      <w:pPr>
        <w:ind w:left="3540" w:hanging="360"/>
      </w:pPr>
      <w:rPr>
        <w:rFonts w:hint="default"/>
      </w:r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1">
    <w:nsid w:val="372E130B"/>
    <w:multiLevelType w:val="hybridMultilevel"/>
    <w:tmpl w:val="BA5E164E"/>
    <w:lvl w:ilvl="0" w:tplc="F09050B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38345F53"/>
    <w:multiLevelType w:val="hybridMultilevel"/>
    <w:tmpl w:val="58BEF1B8"/>
    <w:lvl w:ilvl="0" w:tplc="919C7E44">
      <w:start w:val="1"/>
      <w:numFmt w:val="lowerLetter"/>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
    <w:nsid w:val="393A1E10"/>
    <w:multiLevelType w:val="hybridMultilevel"/>
    <w:tmpl w:val="4812687E"/>
    <w:lvl w:ilvl="0" w:tplc="E28A4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C330A"/>
    <w:multiLevelType w:val="hybridMultilevel"/>
    <w:tmpl w:val="4072DFB4"/>
    <w:lvl w:ilvl="0" w:tplc="28688A96">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nsid w:val="59597C17"/>
    <w:multiLevelType w:val="multilevel"/>
    <w:tmpl w:val="A752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6A51B2"/>
    <w:multiLevelType w:val="hybridMultilevel"/>
    <w:tmpl w:val="395837E4"/>
    <w:lvl w:ilvl="0" w:tplc="2A2430D2">
      <w:start w:val="1"/>
      <w:numFmt w:val="low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89"/>
    <w:rsid w:val="00016594"/>
    <w:rsid w:val="00026330"/>
    <w:rsid w:val="00027A8F"/>
    <w:rsid w:val="00042BB1"/>
    <w:rsid w:val="0004559D"/>
    <w:rsid w:val="000504C7"/>
    <w:rsid w:val="00052597"/>
    <w:rsid w:val="00062962"/>
    <w:rsid w:val="00075206"/>
    <w:rsid w:val="00076717"/>
    <w:rsid w:val="00076F10"/>
    <w:rsid w:val="00094552"/>
    <w:rsid w:val="000971F4"/>
    <w:rsid w:val="000A3A84"/>
    <w:rsid w:val="000B0499"/>
    <w:rsid w:val="000B2C31"/>
    <w:rsid w:val="000B31C1"/>
    <w:rsid w:val="000B35B7"/>
    <w:rsid w:val="000C0A55"/>
    <w:rsid w:val="000D0189"/>
    <w:rsid w:val="000D5197"/>
    <w:rsid w:val="000F32AC"/>
    <w:rsid w:val="001003C6"/>
    <w:rsid w:val="00101D0A"/>
    <w:rsid w:val="00105583"/>
    <w:rsid w:val="001060F0"/>
    <w:rsid w:val="00114E86"/>
    <w:rsid w:val="00131497"/>
    <w:rsid w:val="0014120C"/>
    <w:rsid w:val="00143B80"/>
    <w:rsid w:val="00144806"/>
    <w:rsid w:val="0014487F"/>
    <w:rsid w:val="001451EE"/>
    <w:rsid w:val="00153E39"/>
    <w:rsid w:val="00165DA9"/>
    <w:rsid w:val="00171741"/>
    <w:rsid w:val="001751EC"/>
    <w:rsid w:val="001763E7"/>
    <w:rsid w:val="00190C26"/>
    <w:rsid w:val="00191F7F"/>
    <w:rsid w:val="00195948"/>
    <w:rsid w:val="001A2CA5"/>
    <w:rsid w:val="001A3AE1"/>
    <w:rsid w:val="001A4F99"/>
    <w:rsid w:val="001A5A63"/>
    <w:rsid w:val="001B0075"/>
    <w:rsid w:val="001B45AB"/>
    <w:rsid w:val="001C1BA1"/>
    <w:rsid w:val="001C4C8D"/>
    <w:rsid w:val="001C6DE5"/>
    <w:rsid w:val="001D1448"/>
    <w:rsid w:val="001E53B9"/>
    <w:rsid w:val="001E5A6E"/>
    <w:rsid w:val="001F18F7"/>
    <w:rsid w:val="001F2C80"/>
    <w:rsid w:val="001F3C51"/>
    <w:rsid w:val="001F7AB5"/>
    <w:rsid w:val="00200452"/>
    <w:rsid w:val="00204AA0"/>
    <w:rsid w:val="00214487"/>
    <w:rsid w:val="00227426"/>
    <w:rsid w:val="00230C6D"/>
    <w:rsid w:val="0023398C"/>
    <w:rsid w:val="00233ADA"/>
    <w:rsid w:val="00240C5C"/>
    <w:rsid w:val="00247ED7"/>
    <w:rsid w:val="002560D0"/>
    <w:rsid w:val="00266B48"/>
    <w:rsid w:val="002711BE"/>
    <w:rsid w:val="0027671D"/>
    <w:rsid w:val="00283D25"/>
    <w:rsid w:val="00294448"/>
    <w:rsid w:val="0029570D"/>
    <w:rsid w:val="00297F7A"/>
    <w:rsid w:val="002A5666"/>
    <w:rsid w:val="002B1CE3"/>
    <w:rsid w:val="002B1EE3"/>
    <w:rsid w:val="002B52FA"/>
    <w:rsid w:val="002C1B21"/>
    <w:rsid w:val="002C6D6F"/>
    <w:rsid w:val="002C71CE"/>
    <w:rsid w:val="002D088C"/>
    <w:rsid w:val="002D17EF"/>
    <w:rsid w:val="002D79B0"/>
    <w:rsid w:val="002E713C"/>
    <w:rsid w:val="002F7212"/>
    <w:rsid w:val="00302337"/>
    <w:rsid w:val="003076FA"/>
    <w:rsid w:val="0031289D"/>
    <w:rsid w:val="00316C65"/>
    <w:rsid w:val="00317349"/>
    <w:rsid w:val="0032431D"/>
    <w:rsid w:val="00332AFB"/>
    <w:rsid w:val="0034111E"/>
    <w:rsid w:val="00351987"/>
    <w:rsid w:val="003525A9"/>
    <w:rsid w:val="00352781"/>
    <w:rsid w:val="0035767C"/>
    <w:rsid w:val="00365D70"/>
    <w:rsid w:val="00370736"/>
    <w:rsid w:val="00377045"/>
    <w:rsid w:val="003874AE"/>
    <w:rsid w:val="00390701"/>
    <w:rsid w:val="003A1760"/>
    <w:rsid w:val="003A2B55"/>
    <w:rsid w:val="003A4879"/>
    <w:rsid w:val="003B1A96"/>
    <w:rsid w:val="003B3AC5"/>
    <w:rsid w:val="003C03FA"/>
    <w:rsid w:val="003C5C93"/>
    <w:rsid w:val="003C7B6F"/>
    <w:rsid w:val="003E065D"/>
    <w:rsid w:val="003E6471"/>
    <w:rsid w:val="003F07AD"/>
    <w:rsid w:val="003F11C7"/>
    <w:rsid w:val="003F715F"/>
    <w:rsid w:val="003F7C32"/>
    <w:rsid w:val="00400664"/>
    <w:rsid w:val="00402652"/>
    <w:rsid w:val="00406FE5"/>
    <w:rsid w:val="00413A60"/>
    <w:rsid w:val="0042025A"/>
    <w:rsid w:val="00443B20"/>
    <w:rsid w:val="0044405F"/>
    <w:rsid w:val="0044454B"/>
    <w:rsid w:val="0044467B"/>
    <w:rsid w:val="004505EA"/>
    <w:rsid w:val="00450B31"/>
    <w:rsid w:val="004527F2"/>
    <w:rsid w:val="0045408D"/>
    <w:rsid w:val="004541F5"/>
    <w:rsid w:val="00465D12"/>
    <w:rsid w:val="0046716A"/>
    <w:rsid w:val="004A3369"/>
    <w:rsid w:val="004A7350"/>
    <w:rsid w:val="004B0960"/>
    <w:rsid w:val="004C3114"/>
    <w:rsid w:val="004D13DE"/>
    <w:rsid w:val="004D1792"/>
    <w:rsid w:val="004E52AE"/>
    <w:rsid w:val="004F0B92"/>
    <w:rsid w:val="00501615"/>
    <w:rsid w:val="0050407E"/>
    <w:rsid w:val="0050646E"/>
    <w:rsid w:val="00506D0E"/>
    <w:rsid w:val="00514225"/>
    <w:rsid w:val="00530F47"/>
    <w:rsid w:val="005313D7"/>
    <w:rsid w:val="00543506"/>
    <w:rsid w:val="005442E4"/>
    <w:rsid w:val="0054534B"/>
    <w:rsid w:val="00546378"/>
    <w:rsid w:val="00552DDE"/>
    <w:rsid w:val="00557127"/>
    <w:rsid w:val="00557884"/>
    <w:rsid w:val="00561F61"/>
    <w:rsid w:val="005666AE"/>
    <w:rsid w:val="005733F8"/>
    <w:rsid w:val="005805FD"/>
    <w:rsid w:val="005A2251"/>
    <w:rsid w:val="005A578E"/>
    <w:rsid w:val="005C1594"/>
    <w:rsid w:val="005C1738"/>
    <w:rsid w:val="005C3686"/>
    <w:rsid w:val="005D30E6"/>
    <w:rsid w:val="005D501E"/>
    <w:rsid w:val="005E1303"/>
    <w:rsid w:val="005E46F2"/>
    <w:rsid w:val="005F4405"/>
    <w:rsid w:val="005F60A6"/>
    <w:rsid w:val="00602DC0"/>
    <w:rsid w:val="006039E5"/>
    <w:rsid w:val="00611D2E"/>
    <w:rsid w:val="00611E6F"/>
    <w:rsid w:val="0061587A"/>
    <w:rsid w:val="00616E8A"/>
    <w:rsid w:val="0061763F"/>
    <w:rsid w:val="006205C2"/>
    <w:rsid w:val="00620AC0"/>
    <w:rsid w:val="006212F7"/>
    <w:rsid w:val="00623D75"/>
    <w:rsid w:val="00625DDA"/>
    <w:rsid w:val="00627671"/>
    <w:rsid w:val="00633165"/>
    <w:rsid w:val="00635449"/>
    <w:rsid w:val="00635BCF"/>
    <w:rsid w:val="0063671A"/>
    <w:rsid w:val="006420D1"/>
    <w:rsid w:val="00644CEF"/>
    <w:rsid w:val="006455E6"/>
    <w:rsid w:val="00650388"/>
    <w:rsid w:val="0066131C"/>
    <w:rsid w:val="00662A9C"/>
    <w:rsid w:val="00662C17"/>
    <w:rsid w:val="00664BE5"/>
    <w:rsid w:val="00672563"/>
    <w:rsid w:val="0067442C"/>
    <w:rsid w:val="00674540"/>
    <w:rsid w:val="006924D6"/>
    <w:rsid w:val="006A156D"/>
    <w:rsid w:val="006A3952"/>
    <w:rsid w:val="006B3E49"/>
    <w:rsid w:val="006C066D"/>
    <w:rsid w:val="006C4450"/>
    <w:rsid w:val="006D444B"/>
    <w:rsid w:val="006D4FEE"/>
    <w:rsid w:val="006E5160"/>
    <w:rsid w:val="006E5681"/>
    <w:rsid w:val="006E63ED"/>
    <w:rsid w:val="006F29AB"/>
    <w:rsid w:val="006F6A1C"/>
    <w:rsid w:val="00702C05"/>
    <w:rsid w:val="00713958"/>
    <w:rsid w:val="00742795"/>
    <w:rsid w:val="00743CE2"/>
    <w:rsid w:val="00751132"/>
    <w:rsid w:val="00751938"/>
    <w:rsid w:val="00761CD0"/>
    <w:rsid w:val="00772272"/>
    <w:rsid w:val="00772493"/>
    <w:rsid w:val="00791F53"/>
    <w:rsid w:val="00793EA9"/>
    <w:rsid w:val="00796BE6"/>
    <w:rsid w:val="007B2A7A"/>
    <w:rsid w:val="007C2A32"/>
    <w:rsid w:val="007C54FE"/>
    <w:rsid w:val="007D4AD7"/>
    <w:rsid w:val="007D7AC7"/>
    <w:rsid w:val="007E0CCD"/>
    <w:rsid w:val="00800654"/>
    <w:rsid w:val="00801DA8"/>
    <w:rsid w:val="00811526"/>
    <w:rsid w:val="0082009A"/>
    <w:rsid w:val="008254DE"/>
    <w:rsid w:val="0083529A"/>
    <w:rsid w:val="008353C5"/>
    <w:rsid w:val="008365F8"/>
    <w:rsid w:val="00837273"/>
    <w:rsid w:val="00841B68"/>
    <w:rsid w:val="00841BB6"/>
    <w:rsid w:val="00843190"/>
    <w:rsid w:val="00843F14"/>
    <w:rsid w:val="00851903"/>
    <w:rsid w:val="00853859"/>
    <w:rsid w:val="00854329"/>
    <w:rsid w:val="00861C09"/>
    <w:rsid w:val="008731FE"/>
    <w:rsid w:val="00876C95"/>
    <w:rsid w:val="008939C5"/>
    <w:rsid w:val="008958B6"/>
    <w:rsid w:val="008A2635"/>
    <w:rsid w:val="008A300F"/>
    <w:rsid w:val="008A6A52"/>
    <w:rsid w:val="008A6F0C"/>
    <w:rsid w:val="008B2828"/>
    <w:rsid w:val="008C4B3F"/>
    <w:rsid w:val="008C7FCD"/>
    <w:rsid w:val="008D1398"/>
    <w:rsid w:val="008D7B7B"/>
    <w:rsid w:val="008E0DCA"/>
    <w:rsid w:val="008E27C6"/>
    <w:rsid w:val="008E440E"/>
    <w:rsid w:val="008E5E59"/>
    <w:rsid w:val="008F69B2"/>
    <w:rsid w:val="009049D0"/>
    <w:rsid w:val="00921EA3"/>
    <w:rsid w:val="00923683"/>
    <w:rsid w:val="0092390D"/>
    <w:rsid w:val="00923B47"/>
    <w:rsid w:val="00933C90"/>
    <w:rsid w:val="009423BD"/>
    <w:rsid w:val="00943571"/>
    <w:rsid w:val="0095174F"/>
    <w:rsid w:val="0095261B"/>
    <w:rsid w:val="00955201"/>
    <w:rsid w:val="00957638"/>
    <w:rsid w:val="009624D2"/>
    <w:rsid w:val="00965072"/>
    <w:rsid w:val="00965817"/>
    <w:rsid w:val="0096736F"/>
    <w:rsid w:val="0096789D"/>
    <w:rsid w:val="00972A89"/>
    <w:rsid w:val="00974F19"/>
    <w:rsid w:val="00993FFC"/>
    <w:rsid w:val="00995E46"/>
    <w:rsid w:val="009960CD"/>
    <w:rsid w:val="009978A7"/>
    <w:rsid w:val="009A3DCD"/>
    <w:rsid w:val="009B33D2"/>
    <w:rsid w:val="009C3611"/>
    <w:rsid w:val="009C3EA4"/>
    <w:rsid w:val="009C40FA"/>
    <w:rsid w:val="009D1C16"/>
    <w:rsid w:val="009D2A08"/>
    <w:rsid w:val="009F04C6"/>
    <w:rsid w:val="009F22A7"/>
    <w:rsid w:val="009F7722"/>
    <w:rsid w:val="00A13898"/>
    <w:rsid w:val="00A13A28"/>
    <w:rsid w:val="00A23A3D"/>
    <w:rsid w:val="00A23EE2"/>
    <w:rsid w:val="00A3091D"/>
    <w:rsid w:val="00A32190"/>
    <w:rsid w:val="00A3443D"/>
    <w:rsid w:val="00A36BA2"/>
    <w:rsid w:val="00A3710B"/>
    <w:rsid w:val="00A40D55"/>
    <w:rsid w:val="00A443AF"/>
    <w:rsid w:val="00A453FF"/>
    <w:rsid w:val="00A46697"/>
    <w:rsid w:val="00A50639"/>
    <w:rsid w:val="00A5450D"/>
    <w:rsid w:val="00A569FB"/>
    <w:rsid w:val="00A57DE7"/>
    <w:rsid w:val="00A620B5"/>
    <w:rsid w:val="00A6676A"/>
    <w:rsid w:val="00A66C7F"/>
    <w:rsid w:val="00A7079D"/>
    <w:rsid w:val="00A772AA"/>
    <w:rsid w:val="00A805F1"/>
    <w:rsid w:val="00A837D1"/>
    <w:rsid w:val="00A85B91"/>
    <w:rsid w:val="00AA08E5"/>
    <w:rsid w:val="00AB4474"/>
    <w:rsid w:val="00AC2683"/>
    <w:rsid w:val="00AC6632"/>
    <w:rsid w:val="00AD7171"/>
    <w:rsid w:val="00AE14FF"/>
    <w:rsid w:val="00AE37D1"/>
    <w:rsid w:val="00AF6B1C"/>
    <w:rsid w:val="00B15DE9"/>
    <w:rsid w:val="00B17F1D"/>
    <w:rsid w:val="00B218B1"/>
    <w:rsid w:val="00B23428"/>
    <w:rsid w:val="00B2541A"/>
    <w:rsid w:val="00B30B61"/>
    <w:rsid w:val="00B33CD9"/>
    <w:rsid w:val="00B34981"/>
    <w:rsid w:val="00B47457"/>
    <w:rsid w:val="00B6067D"/>
    <w:rsid w:val="00B64786"/>
    <w:rsid w:val="00B655D5"/>
    <w:rsid w:val="00B658CE"/>
    <w:rsid w:val="00B67B1C"/>
    <w:rsid w:val="00B757A7"/>
    <w:rsid w:val="00B77759"/>
    <w:rsid w:val="00B82B9B"/>
    <w:rsid w:val="00B86D04"/>
    <w:rsid w:val="00B91EDA"/>
    <w:rsid w:val="00B92C50"/>
    <w:rsid w:val="00B96BD7"/>
    <w:rsid w:val="00BA3875"/>
    <w:rsid w:val="00BB0C56"/>
    <w:rsid w:val="00BB1A14"/>
    <w:rsid w:val="00BB3E0D"/>
    <w:rsid w:val="00BB7830"/>
    <w:rsid w:val="00BC5E40"/>
    <w:rsid w:val="00BD12DA"/>
    <w:rsid w:val="00BD5DBE"/>
    <w:rsid w:val="00BF0CD7"/>
    <w:rsid w:val="00BF3970"/>
    <w:rsid w:val="00C02415"/>
    <w:rsid w:val="00C03779"/>
    <w:rsid w:val="00C05330"/>
    <w:rsid w:val="00C12107"/>
    <w:rsid w:val="00C13D76"/>
    <w:rsid w:val="00C22BDC"/>
    <w:rsid w:val="00C24EDD"/>
    <w:rsid w:val="00C26120"/>
    <w:rsid w:val="00C376C6"/>
    <w:rsid w:val="00C47200"/>
    <w:rsid w:val="00C5700C"/>
    <w:rsid w:val="00C61DF7"/>
    <w:rsid w:val="00C61F25"/>
    <w:rsid w:val="00C62BE9"/>
    <w:rsid w:val="00C65048"/>
    <w:rsid w:val="00C6576A"/>
    <w:rsid w:val="00C72672"/>
    <w:rsid w:val="00C75FBC"/>
    <w:rsid w:val="00C9024A"/>
    <w:rsid w:val="00C9071F"/>
    <w:rsid w:val="00C9167D"/>
    <w:rsid w:val="00C94036"/>
    <w:rsid w:val="00C950B2"/>
    <w:rsid w:val="00CA0CC4"/>
    <w:rsid w:val="00CB3384"/>
    <w:rsid w:val="00CC37C1"/>
    <w:rsid w:val="00CC4A08"/>
    <w:rsid w:val="00CD0017"/>
    <w:rsid w:val="00CD500D"/>
    <w:rsid w:val="00CF555B"/>
    <w:rsid w:val="00D032B8"/>
    <w:rsid w:val="00D16C44"/>
    <w:rsid w:val="00D227C3"/>
    <w:rsid w:val="00D238DE"/>
    <w:rsid w:val="00D34DD0"/>
    <w:rsid w:val="00D41435"/>
    <w:rsid w:val="00D446EE"/>
    <w:rsid w:val="00D569B1"/>
    <w:rsid w:val="00D70EBF"/>
    <w:rsid w:val="00D72B8C"/>
    <w:rsid w:val="00D7509B"/>
    <w:rsid w:val="00D908DE"/>
    <w:rsid w:val="00D92B5F"/>
    <w:rsid w:val="00DA138B"/>
    <w:rsid w:val="00DA3E2B"/>
    <w:rsid w:val="00DA4C08"/>
    <w:rsid w:val="00DB1762"/>
    <w:rsid w:val="00DB3B94"/>
    <w:rsid w:val="00DC0C2A"/>
    <w:rsid w:val="00DC2425"/>
    <w:rsid w:val="00DC6DBA"/>
    <w:rsid w:val="00DC6DE2"/>
    <w:rsid w:val="00DE6B94"/>
    <w:rsid w:val="00DF08E8"/>
    <w:rsid w:val="00DF1763"/>
    <w:rsid w:val="00E13B10"/>
    <w:rsid w:val="00E14F49"/>
    <w:rsid w:val="00E167A3"/>
    <w:rsid w:val="00E254EE"/>
    <w:rsid w:val="00E3334A"/>
    <w:rsid w:val="00E42613"/>
    <w:rsid w:val="00E55BAD"/>
    <w:rsid w:val="00E56204"/>
    <w:rsid w:val="00E56DDF"/>
    <w:rsid w:val="00E61A99"/>
    <w:rsid w:val="00E81ABB"/>
    <w:rsid w:val="00E914AA"/>
    <w:rsid w:val="00E91929"/>
    <w:rsid w:val="00EA0566"/>
    <w:rsid w:val="00EA0E88"/>
    <w:rsid w:val="00EA3F1D"/>
    <w:rsid w:val="00EB0BD8"/>
    <w:rsid w:val="00EB5D31"/>
    <w:rsid w:val="00EC14C7"/>
    <w:rsid w:val="00EC4698"/>
    <w:rsid w:val="00EC770E"/>
    <w:rsid w:val="00ED3A89"/>
    <w:rsid w:val="00EE0B89"/>
    <w:rsid w:val="00EE286D"/>
    <w:rsid w:val="00EF17AD"/>
    <w:rsid w:val="00EF1BAC"/>
    <w:rsid w:val="00EF2787"/>
    <w:rsid w:val="00F027BA"/>
    <w:rsid w:val="00F0296D"/>
    <w:rsid w:val="00F06189"/>
    <w:rsid w:val="00F209F6"/>
    <w:rsid w:val="00F305B0"/>
    <w:rsid w:val="00F32E0D"/>
    <w:rsid w:val="00F3310F"/>
    <w:rsid w:val="00F33664"/>
    <w:rsid w:val="00F37A25"/>
    <w:rsid w:val="00F4126D"/>
    <w:rsid w:val="00F52F63"/>
    <w:rsid w:val="00F54CB0"/>
    <w:rsid w:val="00F63BF2"/>
    <w:rsid w:val="00F81E18"/>
    <w:rsid w:val="00F83342"/>
    <w:rsid w:val="00F850AB"/>
    <w:rsid w:val="00F91AB9"/>
    <w:rsid w:val="00FA024E"/>
    <w:rsid w:val="00FB1126"/>
    <w:rsid w:val="00FB6F84"/>
    <w:rsid w:val="00FD01CD"/>
    <w:rsid w:val="00FD5348"/>
    <w:rsid w:val="00FF2F26"/>
    <w:rsid w:val="00FF608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89"/>
    <w:pPr>
      <w:spacing w:line="256" w:lineRule="auto"/>
    </w:pPr>
    <w:rPr>
      <w:lang w:val="en-US"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6189"/>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F06189"/>
    <w:pPr>
      <w:spacing w:after="0" w:line="240" w:lineRule="auto"/>
    </w:pPr>
    <w:rPr>
      <w:sz w:val="20"/>
      <w:szCs w:val="20"/>
    </w:rPr>
  </w:style>
  <w:style w:type="character" w:customStyle="1" w:styleId="NotedebasdepageCar">
    <w:name w:val="Note de bas de page Car"/>
    <w:basedOn w:val="Policepardfaut"/>
    <w:link w:val="Notedebasdepage"/>
    <w:uiPriority w:val="99"/>
    <w:rsid w:val="00F06189"/>
    <w:rPr>
      <w:sz w:val="20"/>
      <w:szCs w:val="20"/>
      <w:lang w:val="en-US" w:bidi="he-IL"/>
    </w:rPr>
  </w:style>
  <w:style w:type="character" w:customStyle="1" w:styleId="1">
    <w:name w:val="1 תו"/>
    <w:basedOn w:val="Policepardfaut"/>
    <w:link w:val="10"/>
    <w:uiPriority w:val="99"/>
    <w:locked/>
    <w:rsid w:val="00F06189"/>
    <w:rPr>
      <w:rFonts w:ascii="Times New Roman" w:eastAsiaTheme="minorEastAsia" w:hAnsi="Times New Roman" w:cs="Times New Roman"/>
      <w:sz w:val="24"/>
      <w:szCs w:val="24"/>
    </w:rPr>
  </w:style>
  <w:style w:type="paragraph" w:customStyle="1" w:styleId="10">
    <w:name w:val="1"/>
    <w:basedOn w:val="Normal"/>
    <w:link w:val="1"/>
    <w:uiPriority w:val="99"/>
    <w:qFormat/>
    <w:rsid w:val="00F06189"/>
    <w:pPr>
      <w:spacing w:before="240" w:after="240" w:line="480" w:lineRule="auto"/>
      <w:jc w:val="both"/>
    </w:pPr>
    <w:rPr>
      <w:rFonts w:ascii="Times New Roman" w:eastAsiaTheme="minorEastAsia" w:hAnsi="Times New Roman" w:cs="Times New Roman"/>
      <w:sz w:val="24"/>
      <w:szCs w:val="24"/>
      <w:lang w:val="de-DE" w:bidi="ar-SA"/>
    </w:rPr>
  </w:style>
  <w:style w:type="character" w:styleId="Appelnotedebasdep">
    <w:name w:val="footnote reference"/>
    <w:basedOn w:val="Policepardfaut"/>
    <w:uiPriority w:val="99"/>
    <w:unhideWhenUsed/>
    <w:rsid w:val="00F06189"/>
    <w:rPr>
      <w:vertAlign w:val="superscript"/>
    </w:rPr>
  </w:style>
  <w:style w:type="character" w:styleId="Textedelespacerserv">
    <w:name w:val="Placeholder Text"/>
    <w:basedOn w:val="Policepardfaut"/>
    <w:uiPriority w:val="99"/>
    <w:semiHidden/>
    <w:rsid w:val="00F06189"/>
    <w:rPr>
      <w:color w:val="808080"/>
    </w:rPr>
  </w:style>
  <w:style w:type="paragraph" w:styleId="Textedebulles">
    <w:name w:val="Balloon Text"/>
    <w:basedOn w:val="Normal"/>
    <w:link w:val="TextedebullesCar"/>
    <w:uiPriority w:val="99"/>
    <w:semiHidden/>
    <w:unhideWhenUsed/>
    <w:rsid w:val="00F061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6189"/>
    <w:rPr>
      <w:rFonts w:ascii="Segoe UI" w:hAnsi="Segoe UI" w:cs="Segoe UI"/>
      <w:sz w:val="18"/>
      <w:szCs w:val="18"/>
      <w:lang w:val="en-US" w:bidi="he-IL"/>
    </w:rPr>
  </w:style>
  <w:style w:type="character" w:styleId="Marquedecommentaire">
    <w:name w:val="annotation reference"/>
    <w:basedOn w:val="Policepardfaut"/>
    <w:uiPriority w:val="99"/>
    <w:semiHidden/>
    <w:unhideWhenUsed/>
    <w:rsid w:val="00F06189"/>
    <w:rPr>
      <w:sz w:val="16"/>
      <w:szCs w:val="16"/>
    </w:rPr>
  </w:style>
  <w:style w:type="paragraph" w:styleId="Commentaire">
    <w:name w:val="annotation text"/>
    <w:basedOn w:val="Normal"/>
    <w:link w:val="CommentaireCar"/>
    <w:uiPriority w:val="99"/>
    <w:semiHidden/>
    <w:unhideWhenUsed/>
    <w:rsid w:val="00F06189"/>
    <w:pPr>
      <w:spacing w:line="240" w:lineRule="auto"/>
    </w:pPr>
    <w:rPr>
      <w:sz w:val="20"/>
      <w:szCs w:val="20"/>
    </w:rPr>
  </w:style>
  <w:style w:type="character" w:customStyle="1" w:styleId="CommentaireCar">
    <w:name w:val="Commentaire Car"/>
    <w:basedOn w:val="Policepardfaut"/>
    <w:link w:val="Commentaire"/>
    <w:uiPriority w:val="99"/>
    <w:semiHidden/>
    <w:rsid w:val="00F06189"/>
    <w:rPr>
      <w:sz w:val="20"/>
      <w:szCs w:val="20"/>
      <w:lang w:val="en-US" w:bidi="he-IL"/>
    </w:rPr>
  </w:style>
  <w:style w:type="paragraph" w:styleId="Objetducommentaire">
    <w:name w:val="annotation subject"/>
    <w:basedOn w:val="Commentaire"/>
    <w:next w:val="Commentaire"/>
    <w:link w:val="ObjetducommentaireCar"/>
    <w:uiPriority w:val="99"/>
    <w:semiHidden/>
    <w:unhideWhenUsed/>
    <w:rsid w:val="00F06189"/>
    <w:rPr>
      <w:b/>
      <w:bCs/>
    </w:rPr>
  </w:style>
  <w:style w:type="character" w:customStyle="1" w:styleId="ObjetducommentaireCar">
    <w:name w:val="Objet du commentaire Car"/>
    <w:basedOn w:val="CommentaireCar"/>
    <w:link w:val="Objetducommentaire"/>
    <w:uiPriority w:val="99"/>
    <w:semiHidden/>
    <w:rsid w:val="00F06189"/>
    <w:rPr>
      <w:b/>
      <w:bCs/>
      <w:sz w:val="20"/>
      <w:szCs w:val="20"/>
      <w:lang w:val="en-US" w:bidi="he-IL"/>
    </w:rPr>
  </w:style>
  <w:style w:type="table" w:styleId="Grilledutableau">
    <w:name w:val="Table Grid"/>
    <w:basedOn w:val="TableauNormal"/>
    <w:uiPriority w:val="39"/>
    <w:rsid w:val="00F06189"/>
    <w:pPr>
      <w:spacing w:after="0" w:line="240" w:lineRule="auto"/>
    </w:pPr>
    <w:rPr>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F06189"/>
    <w:pPr>
      <w:spacing w:after="200" w:line="240" w:lineRule="auto"/>
    </w:pPr>
    <w:rPr>
      <w:i/>
      <w:iCs/>
      <w:color w:val="44546A" w:themeColor="text2"/>
      <w:sz w:val="18"/>
      <w:szCs w:val="18"/>
    </w:rPr>
  </w:style>
  <w:style w:type="paragraph" w:styleId="Paragraphedeliste">
    <w:name w:val="List Paragraph"/>
    <w:basedOn w:val="Normal"/>
    <w:uiPriority w:val="34"/>
    <w:qFormat/>
    <w:rsid w:val="003F715F"/>
    <w:pPr>
      <w:ind w:left="720"/>
      <w:contextualSpacing/>
    </w:pPr>
  </w:style>
  <w:style w:type="paragraph" w:styleId="Textebrut">
    <w:name w:val="Plain Text"/>
    <w:basedOn w:val="Normal"/>
    <w:link w:val="TextebrutCar"/>
    <w:uiPriority w:val="99"/>
    <w:semiHidden/>
    <w:unhideWhenUsed/>
    <w:rsid w:val="00D41435"/>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D41435"/>
    <w:rPr>
      <w:rFonts w:ascii="Calibri" w:hAnsi="Calibri"/>
      <w:szCs w:val="21"/>
      <w:lang w:val="en-US" w:bidi="he-IL"/>
    </w:rPr>
  </w:style>
  <w:style w:type="character" w:customStyle="1" w:styleId="sub-title-heading">
    <w:name w:val="sub-title-heading"/>
    <w:basedOn w:val="Policepardfaut"/>
    <w:rsid w:val="00E914AA"/>
  </w:style>
  <w:style w:type="character" w:styleId="lev">
    <w:name w:val="Strong"/>
    <w:basedOn w:val="Policepardfaut"/>
    <w:uiPriority w:val="22"/>
    <w:qFormat/>
    <w:rsid w:val="00E914AA"/>
    <w:rPr>
      <w:b/>
      <w:bCs/>
    </w:rPr>
  </w:style>
  <w:style w:type="character" w:customStyle="1" w:styleId="t">
    <w:name w:val="t"/>
    <w:basedOn w:val="Policepardfaut"/>
    <w:rsid w:val="00644CEF"/>
  </w:style>
  <w:style w:type="character" w:styleId="Lienhypertexte">
    <w:name w:val="Hyperlink"/>
    <w:basedOn w:val="Policepardfaut"/>
    <w:uiPriority w:val="99"/>
    <w:unhideWhenUsed/>
    <w:rsid w:val="00876C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89"/>
    <w:pPr>
      <w:spacing w:line="256" w:lineRule="auto"/>
    </w:pPr>
    <w:rPr>
      <w:lang w:val="en-US"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6189"/>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unhideWhenUsed/>
    <w:rsid w:val="00F06189"/>
    <w:pPr>
      <w:spacing w:after="0" w:line="240" w:lineRule="auto"/>
    </w:pPr>
    <w:rPr>
      <w:sz w:val="20"/>
      <w:szCs w:val="20"/>
    </w:rPr>
  </w:style>
  <w:style w:type="character" w:customStyle="1" w:styleId="NotedebasdepageCar">
    <w:name w:val="Note de bas de page Car"/>
    <w:basedOn w:val="Policepardfaut"/>
    <w:link w:val="Notedebasdepage"/>
    <w:uiPriority w:val="99"/>
    <w:rsid w:val="00F06189"/>
    <w:rPr>
      <w:sz w:val="20"/>
      <w:szCs w:val="20"/>
      <w:lang w:val="en-US" w:bidi="he-IL"/>
    </w:rPr>
  </w:style>
  <w:style w:type="character" w:customStyle="1" w:styleId="1">
    <w:name w:val="1 תו"/>
    <w:basedOn w:val="Policepardfaut"/>
    <w:link w:val="10"/>
    <w:uiPriority w:val="99"/>
    <w:locked/>
    <w:rsid w:val="00F06189"/>
    <w:rPr>
      <w:rFonts w:ascii="Times New Roman" w:eastAsiaTheme="minorEastAsia" w:hAnsi="Times New Roman" w:cs="Times New Roman"/>
      <w:sz w:val="24"/>
      <w:szCs w:val="24"/>
    </w:rPr>
  </w:style>
  <w:style w:type="paragraph" w:customStyle="1" w:styleId="10">
    <w:name w:val="1"/>
    <w:basedOn w:val="Normal"/>
    <w:link w:val="1"/>
    <w:uiPriority w:val="99"/>
    <w:qFormat/>
    <w:rsid w:val="00F06189"/>
    <w:pPr>
      <w:spacing w:before="240" w:after="240" w:line="480" w:lineRule="auto"/>
      <w:jc w:val="both"/>
    </w:pPr>
    <w:rPr>
      <w:rFonts w:ascii="Times New Roman" w:eastAsiaTheme="minorEastAsia" w:hAnsi="Times New Roman" w:cs="Times New Roman"/>
      <w:sz w:val="24"/>
      <w:szCs w:val="24"/>
      <w:lang w:val="de-DE" w:bidi="ar-SA"/>
    </w:rPr>
  </w:style>
  <w:style w:type="character" w:styleId="Appelnotedebasdep">
    <w:name w:val="footnote reference"/>
    <w:basedOn w:val="Policepardfaut"/>
    <w:uiPriority w:val="99"/>
    <w:unhideWhenUsed/>
    <w:rsid w:val="00F06189"/>
    <w:rPr>
      <w:vertAlign w:val="superscript"/>
    </w:rPr>
  </w:style>
  <w:style w:type="character" w:styleId="Textedelespacerserv">
    <w:name w:val="Placeholder Text"/>
    <w:basedOn w:val="Policepardfaut"/>
    <w:uiPriority w:val="99"/>
    <w:semiHidden/>
    <w:rsid w:val="00F06189"/>
    <w:rPr>
      <w:color w:val="808080"/>
    </w:rPr>
  </w:style>
  <w:style w:type="paragraph" w:styleId="Textedebulles">
    <w:name w:val="Balloon Text"/>
    <w:basedOn w:val="Normal"/>
    <w:link w:val="TextedebullesCar"/>
    <w:uiPriority w:val="99"/>
    <w:semiHidden/>
    <w:unhideWhenUsed/>
    <w:rsid w:val="00F061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6189"/>
    <w:rPr>
      <w:rFonts w:ascii="Segoe UI" w:hAnsi="Segoe UI" w:cs="Segoe UI"/>
      <w:sz w:val="18"/>
      <w:szCs w:val="18"/>
      <w:lang w:val="en-US" w:bidi="he-IL"/>
    </w:rPr>
  </w:style>
  <w:style w:type="character" w:styleId="Marquedecommentaire">
    <w:name w:val="annotation reference"/>
    <w:basedOn w:val="Policepardfaut"/>
    <w:uiPriority w:val="99"/>
    <w:semiHidden/>
    <w:unhideWhenUsed/>
    <w:rsid w:val="00F06189"/>
    <w:rPr>
      <w:sz w:val="16"/>
      <w:szCs w:val="16"/>
    </w:rPr>
  </w:style>
  <w:style w:type="paragraph" w:styleId="Commentaire">
    <w:name w:val="annotation text"/>
    <w:basedOn w:val="Normal"/>
    <w:link w:val="CommentaireCar"/>
    <w:uiPriority w:val="99"/>
    <w:semiHidden/>
    <w:unhideWhenUsed/>
    <w:rsid w:val="00F06189"/>
    <w:pPr>
      <w:spacing w:line="240" w:lineRule="auto"/>
    </w:pPr>
    <w:rPr>
      <w:sz w:val="20"/>
      <w:szCs w:val="20"/>
    </w:rPr>
  </w:style>
  <w:style w:type="character" w:customStyle="1" w:styleId="CommentaireCar">
    <w:name w:val="Commentaire Car"/>
    <w:basedOn w:val="Policepardfaut"/>
    <w:link w:val="Commentaire"/>
    <w:uiPriority w:val="99"/>
    <w:semiHidden/>
    <w:rsid w:val="00F06189"/>
    <w:rPr>
      <w:sz w:val="20"/>
      <w:szCs w:val="20"/>
      <w:lang w:val="en-US" w:bidi="he-IL"/>
    </w:rPr>
  </w:style>
  <w:style w:type="paragraph" w:styleId="Objetducommentaire">
    <w:name w:val="annotation subject"/>
    <w:basedOn w:val="Commentaire"/>
    <w:next w:val="Commentaire"/>
    <w:link w:val="ObjetducommentaireCar"/>
    <w:uiPriority w:val="99"/>
    <w:semiHidden/>
    <w:unhideWhenUsed/>
    <w:rsid w:val="00F06189"/>
    <w:rPr>
      <w:b/>
      <w:bCs/>
    </w:rPr>
  </w:style>
  <w:style w:type="character" w:customStyle="1" w:styleId="ObjetducommentaireCar">
    <w:name w:val="Objet du commentaire Car"/>
    <w:basedOn w:val="CommentaireCar"/>
    <w:link w:val="Objetducommentaire"/>
    <w:uiPriority w:val="99"/>
    <w:semiHidden/>
    <w:rsid w:val="00F06189"/>
    <w:rPr>
      <w:b/>
      <w:bCs/>
      <w:sz w:val="20"/>
      <w:szCs w:val="20"/>
      <w:lang w:val="en-US" w:bidi="he-IL"/>
    </w:rPr>
  </w:style>
  <w:style w:type="table" w:styleId="Grilledutableau">
    <w:name w:val="Table Grid"/>
    <w:basedOn w:val="TableauNormal"/>
    <w:uiPriority w:val="39"/>
    <w:rsid w:val="00F06189"/>
    <w:pPr>
      <w:spacing w:after="0" w:line="240" w:lineRule="auto"/>
    </w:pPr>
    <w:rPr>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F06189"/>
    <w:pPr>
      <w:spacing w:after="200" w:line="240" w:lineRule="auto"/>
    </w:pPr>
    <w:rPr>
      <w:i/>
      <w:iCs/>
      <w:color w:val="44546A" w:themeColor="text2"/>
      <w:sz w:val="18"/>
      <w:szCs w:val="18"/>
    </w:rPr>
  </w:style>
  <w:style w:type="paragraph" w:styleId="Paragraphedeliste">
    <w:name w:val="List Paragraph"/>
    <w:basedOn w:val="Normal"/>
    <w:uiPriority w:val="34"/>
    <w:qFormat/>
    <w:rsid w:val="003F715F"/>
    <w:pPr>
      <w:ind w:left="720"/>
      <w:contextualSpacing/>
    </w:pPr>
  </w:style>
  <w:style w:type="paragraph" w:styleId="Textebrut">
    <w:name w:val="Plain Text"/>
    <w:basedOn w:val="Normal"/>
    <w:link w:val="TextebrutCar"/>
    <w:uiPriority w:val="99"/>
    <w:semiHidden/>
    <w:unhideWhenUsed/>
    <w:rsid w:val="00D41435"/>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D41435"/>
    <w:rPr>
      <w:rFonts w:ascii="Calibri" w:hAnsi="Calibri"/>
      <w:szCs w:val="21"/>
      <w:lang w:val="en-US" w:bidi="he-IL"/>
    </w:rPr>
  </w:style>
  <w:style w:type="character" w:customStyle="1" w:styleId="sub-title-heading">
    <w:name w:val="sub-title-heading"/>
    <w:basedOn w:val="Policepardfaut"/>
    <w:rsid w:val="00E914AA"/>
  </w:style>
  <w:style w:type="character" w:styleId="lev">
    <w:name w:val="Strong"/>
    <w:basedOn w:val="Policepardfaut"/>
    <w:uiPriority w:val="22"/>
    <w:qFormat/>
    <w:rsid w:val="00E914AA"/>
    <w:rPr>
      <w:b/>
      <w:bCs/>
    </w:rPr>
  </w:style>
  <w:style w:type="character" w:customStyle="1" w:styleId="t">
    <w:name w:val="t"/>
    <w:basedOn w:val="Policepardfaut"/>
    <w:rsid w:val="00644CEF"/>
  </w:style>
  <w:style w:type="character" w:styleId="Lienhypertexte">
    <w:name w:val="Hyperlink"/>
    <w:basedOn w:val="Policepardfaut"/>
    <w:uiPriority w:val="99"/>
    <w:unhideWhenUsed/>
    <w:rsid w:val="00876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3384">
      <w:bodyDiv w:val="1"/>
      <w:marLeft w:val="0"/>
      <w:marRight w:val="0"/>
      <w:marTop w:val="0"/>
      <w:marBottom w:val="0"/>
      <w:divBdr>
        <w:top w:val="none" w:sz="0" w:space="0" w:color="auto"/>
        <w:left w:val="none" w:sz="0" w:space="0" w:color="auto"/>
        <w:bottom w:val="none" w:sz="0" w:space="0" w:color="auto"/>
        <w:right w:val="none" w:sz="0" w:space="0" w:color="auto"/>
      </w:divBdr>
    </w:div>
    <w:div w:id="1678340818">
      <w:bodyDiv w:val="1"/>
      <w:marLeft w:val="0"/>
      <w:marRight w:val="0"/>
      <w:marTop w:val="0"/>
      <w:marBottom w:val="0"/>
      <w:divBdr>
        <w:top w:val="none" w:sz="0" w:space="0" w:color="auto"/>
        <w:left w:val="none" w:sz="0" w:space="0" w:color="auto"/>
        <w:bottom w:val="none" w:sz="0" w:space="0" w:color="auto"/>
        <w:right w:val="none" w:sz="0" w:space="0" w:color="auto"/>
      </w:divBdr>
    </w:div>
    <w:div w:id="1685133458">
      <w:bodyDiv w:val="1"/>
      <w:marLeft w:val="0"/>
      <w:marRight w:val="0"/>
      <w:marTop w:val="0"/>
      <w:marBottom w:val="0"/>
      <w:divBdr>
        <w:top w:val="none" w:sz="0" w:space="0" w:color="auto"/>
        <w:left w:val="none" w:sz="0" w:space="0" w:color="auto"/>
        <w:bottom w:val="none" w:sz="0" w:space="0" w:color="auto"/>
        <w:right w:val="none" w:sz="0" w:space="0" w:color="auto"/>
      </w:divBdr>
    </w:div>
    <w:div w:id="1689673956">
      <w:bodyDiv w:val="1"/>
      <w:marLeft w:val="0"/>
      <w:marRight w:val="0"/>
      <w:marTop w:val="0"/>
      <w:marBottom w:val="0"/>
      <w:divBdr>
        <w:top w:val="none" w:sz="0" w:space="0" w:color="auto"/>
        <w:left w:val="none" w:sz="0" w:space="0" w:color="auto"/>
        <w:bottom w:val="none" w:sz="0" w:space="0" w:color="auto"/>
        <w:right w:val="none" w:sz="0" w:space="0" w:color="auto"/>
      </w:divBdr>
      <w:divsChild>
        <w:div w:id="121380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sciencedirect.com/science/journal/00221996/85/2"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hyperlink" Target="https://www.sciencedirect.com/science/journal/0022199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sciencedirect.com/science/journal/00472727/9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ander.schwemmer@outlook.com" TargetMode="External"/><Relationship Id="rId24" Type="http://schemas.openxmlformats.org/officeDocument/2006/relationships/hyperlink" Target="https://www.sciencedirect.com/science/journal/00221996/63/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sciencedirect.com/science/journal/00221996" TargetMode="External"/><Relationship Id="rId28" Type="http://schemas.openxmlformats.org/officeDocument/2006/relationships/hyperlink" Target="https://www.sciencedirect.com/science/journal/00472727" TargetMode="External"/><Relationship Id="rId10" Type="http://schemas.openxmlformats.org/officeDocument/2006/relationships/hyperlink" Target="mailto:sadka@tauex.tau.ac.il" TargetMode="External"/><Relationship Id="rId19" Type="http://schemas.openxmlformats.org/officeDocument/2006/relationships/image" Target="media/image7.png"/><Relationship Id="rId31" Type="http://schemas.openxmlformats.org/officeDocument/2006/relationships/hyperlink" Target="https://ideas.repec.org/s/eee/inecon.html" TargetMode="External"/><Relationship Id="rId4" Type="http://schemas.microsoft.com/office/2007/relationships/stylesWithEffects" Target="stylesWithEffects.xml"/><Relationship Id="rId9" Type="http://schemas.openxmlformats.org/officeDocument/2006/relationships/hyperlink" Target="mailto:razin@tauex.tau.ac.il"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javascript:;" TargetMode="External"/><Relationship Id="rId30" Type="http://schemas.openxmlformats.org/officeDocument/2006/relationships/hyperlink" Target="https://ideas.repec.org/a/eee/inecon/v44y1998i1p45-68.html" TargetMode="External"/><Relationship Id="rId35"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Macro-Enabled_Worksheet1.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703088672894107E-2"/>
          <c:y val="1.1251458151064452E-2"/>
          <c:w val="0.77654867256637172"/>
          <c:h val="0.88362652232746952"/>
        </c:manualLayout>
      </c:layout>
      <c:lineChart>
        <c:grouping val="standard"/>
        <c:varyColors val="0"/>
        <c:ser>
          <c:idx val="0"/>
          <c:order val="0"/>
          <c:tx>
            <c:strRef>
              <c:f>Tabelle1!$B$1:$B$1</c:f>
              <c:strCache>
                <c:ptCount val="1"/>
                <c:pt idx="0">
                  <c:v>Finland:</c:v>
                </c:pt>
              </c:strCache>
            </c:strRef>
          </c:tx>
          <c:spPr>
            <a:ln w="9767">
              <a:solidFill>
                <a:srgbClr val="000080"/>
              </a:solidFill>
              <a:prstDash val="solid"/>
            </a:ln>
          </c:spPr>
          <c:marker>
            <c:symbol val="diamond"/>
            <c:size val="3"/>
            <c:spPr>
              <a:solidFill>
                <a:srgbClr val="000080"/>
              </a:solidFill>
              <a:ln>
                <a:solidFill>
                  <a:srgbClr val="00008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Tabelle1!$B$2:$B$28</c:f>
              <c:numCache>
                <c:formatCode>0.00%</c:formatCode>
                <c:ptCount val="27"/>
                <c:pt idx="0">
                  <c:v>0.36834269621820215</c:v>
                </c:pt>
                <c:pt idx="1">
                  <c:v>0.36834269621820215</c:v>
                </c:pt>
                <c:pt idx="2">
                  <c:v>0.36834269621820215</c:v>
                </c:pt>
                <c:pt idx="3">
                  <c:v>0.36834269621820215</c:v>
                </c:pt>
                <c:pt idx="4">
                  <c:v>0.36834269621820215</c:v>
                </c:pt>
                <c:pt idx="5">
                  <c:v>0.36834269621820215</c:v>
                </c:pt>
                <c:pt idx="6">
                  <c:v>0.36834269621820215</c:v>
                </c:pt>
                <c:pt idx="7">
                  <c:v>0.36834269621820215</c:v>
                </c:pt>
                <c:pt idx="8">
                  <c:v>0.36834269621820215</c:v>
                </c:pt>
                <c:pt idx="9">
                  <c:v>0.36834269621820215</c:v>
                </c:pt>
                <c:pt idx="10">
                  <c:v>0.36834269621820215</c:v>
                </c:pt>
                <c:pt idx="11">
                  <c:v>0.36834269621820215</c:v>
                </c:pt>
                <c:pt idx="12">
                  <c:v>0.27574496949648791</c:v>
                </c:pt>
                <c:pt idx="13">
                  <c:v>0.27574496949648791</c:v>
                </c:pt>
                <c:pt idx="14">
                  <c:v>0.27574496949648791</c:v>
                </c:pt>
                <c:pt idx="15">
                  <c:v>0.27574496949648791</c:v>
                </c:pt>
                <c:pt idx="16">
                  <c:v>0.20487579817418355</c:v>
                </c:pt>
                <c:pt idx="17">
                  <c:v>0.18758285149890494</c:v>
                </c:pt>
                <c:pt idx="18">
                  <c:v>0.15348926088871906</c:v>
                </c:pt>
                <c:pt idx="19">
                  <c:v>0.20487579817418355</c:v>
                </c:pt>
                <c:pt idx="20">
                  <c:v>0.20487579817418355</c:v>
                </c:pt>
                <c:pt idx="21">
                  <c:v>0.20487579817418355</c:v>
                </c:pt>
                <c:pt idx="22">
                  <c:v>0.23112962029655515</c:v>
                </c:pt>
                <c:pt idx="23">
                  <c:v>0.23112962029655515</c:v>
                </c:pt>
                <c:pt idx="24">
                  <c:v>0.23112962029655515</c:v>
                </c:pt>
                <c:pt idx="25">
                  <c:v>0.26300579137537927</c:v>
                </c:pt>
                <c:pt idx="26">
                  <c:v>0.27262867224459808</c:v>
                </c:pt>
              </c:numCache>
            </c:numRef>
          </c:val>
          <c:smooth val="0"/>
        </c:ser>
        <c:ser>
          <c:idx val="1"/>
          <c:order val="1"/>
          <c:tx>
            <c:strRef>
              <c:f>Tabelle1!$C$1:$C$1</c:f>
              <c:strCache>
                <c:ptCount val="1"/>
                <c:pt idx="0">
                  <c:v>Sweden:</c:v>
                </c:pt>
              </c:strCache>
            </c:strRef>
          </c:tx>
          <c:spPr>
            <a:ln w="9767">
              <a:solidFill>
                <a:srgbClr val="000000"/>
              </a:solidFill>
              <a:prstDash val="solid"/>
            </a:ln>
          </c:spPr>
          <c:marker>
            <c:symbol val="square"/>
            <c:size val="3"/>
            <c:spPr>
              <a:solidFill>
                <a:srgbClr val="FF00FF"/>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Tabelle1!$C$2:$C$28</c:f>
              <c:numCache>
                <c:formatCode>0.00%</c:formatCode>
                <c:ptCount val="27"/>
                <c:pt idx="0">
                  <c:v>0.52926501837866069</c:v>
                </c:pt>
                <c:pt idx="1">
                  <c:v>0.52926501837866069</c:v>
                </c:pt>
                <c:pt idx="2">
                  <c:v>0.52926501837866069</c:v>
                </c:pt>
                <c:pt idx="3">
                  <c:v>0.52926501837866069</c:v>
                </c:pt>
                <c:pt idx="4">
                  <c:v>0.52926501837866069</c:v>
                </c:pt>
                <c:pt idx="5">
                  <c:v>0.52926501837866069</c:v>
                </c:pt>
                <c:pt idx="6">
                  <c:v>0.52926501837866069</c:v>
                </c:pt>
                <c:pt idx="7">
                  <c:v>0.52926501837866069</c:v>
                </c:pt>
                <c:pt idx="8">
                  <c:v>0.52926501837866069</c:v>
                </c:pt>
                <c:pt idx="9">
                  <c:v>0.52926501837866069</c:v>
                </c:pt>
                <c:pt idx="10">
                  <c:v>0.52926501837866069</c:v>
                </c:pt>
                <c:pt idx="11">
                  <c:v>0.52926501837866069</c:v>
                </c:pt>
                <c:pt idx="12">
                  <c:v>0.52926501837866069</c:v>
                </c:pt>
                <c:pt idx="13">
                  <c:v>0.52926501837866069</c:v>
                </c:pt>
                <c:pt idx="14">
                  <c:v>0.52926501837866069</c:v>
                </c:pt>
                <c:pt idx="15">
                  <c:v>0.42842718649763695</c:v>
                </c:pt>
                <c:pt idx="16">
                  <c:v>0.42842718649763695</c:v>
                </c:pt>
                <c:pt idx="17">
                  <c:v>0.32517194129784138</c:v>
                </c:pt>
                <c:pt idx="18">
                  <c:v>0.32517194129784138</c:v>
                </c:pt>
                <c:pt idx="19">
                  <c:v>0.32517194129784138</c:v>
                </c:pt>
                <c:pt idx="20">
                  <c:v>0.32517194129784138</c:v>
                </c:pt>
                <c:pt idx="21">
                  <c:v>0.30422313443813026</c:v>
                </c:pt>
                <c:pt idx="22">
                  <c:v>0.30422313443813026</c:v>
                </c:pt>
                <c:pt idx="23">
                  <c:v>0.30422313443813026</c:v>
                </c:pt>
                <c:pt idx="24">
                  <c:v>0.30422313443813026</c:v>
                </c:pt>
                <c:pt idx="25">
                  <c:v>0.30422313443813026</c:v>
                </c:pt>
                <c:pt idx="26">
                  <c:v>0.30422313443813026</c:v>
                </c:pt>
              </c:numCache>
            </c:numRef>
          </c:val>
          <c:smooth val="0"/>
        </c:ser>
        <c:ser>
          <c:idx val="2"/>
          <c:order val="2"/>
          <c:tx>
            <c:strRef>
              <c:f>Tabelle1!$D$1:$D$1</c:f>
              <c:strCache>
                <c:ptCount val="1"/>
                <c:pt idx="0">
                  <c:v>Germany:</c:v>
                </c:pt>
              </c:strCache>
            </c:strRef>
          </c:tx>
          <c:spPr>
            <a:ln w="9767">
              <a:solidFill>
                <a:srgbClr val="FF0000"/>
              </a:solidFill>
              <a:prstDash val="solid"/>
            </a:ln>
          </c:spPr>
          <c:marker>
            <c:symbol val="triangle"/>
            <c:size val="4"/>
            <c:spPr>
              <a:solidFill>
                <a:srgbClr val="FF0000"/>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Tabelle1!$D$2:$D$28</c:f>
              <c:numCache>
                <c:formatCode>0.00%</c:formatCode>
                <c:ptCount val="27"/>
                <c:pt idx="0">
                  <c:v>0.50215844831453682</c:v>
                </c:pt>
                <c:pt idx="1">
                  <c:v>0.53921910846146393</c:v>
                </c:pt>
                <c:pt idx="2">
                  <c:v>0.53921910846146393</c:v>
                </c:pt>
                <c:pt idx="3">
                  <c:v>0.58864242902318265</c:v>
                </c:pt>
                <c:pt idx="4">
                  <c:v>0.58864242902318265</c:v>
                </c:pt>
                <c:pt idx="5">
                  <c:v>0.53872719716802342</c:v>
                </c:pt>
                <c:pt idx="6">
                  <c:v>0.53872719716802342</c:v>
                </c:pt>
                <c:pt idx="7">
                  <c:v>0.49592007737636695</c:v>
                </c:pt>
                <c:pt idx="8">
                  <c:v>0.49592007737636695</c:v>
                </c:pt>
                <c:pt idx="9">
                  <c:v>0.49592007737636695</c:v>
                </c:pt>
                <c:pt idx="10">
                  <c:v>0.49592007737636695</c:v>
                </c:pt>
                <c:pt idx="11">
                  <c:v>0.49592007737636695</c:v>
                </c:pt>
                <c:pt idx="12">
                  <c:v>0.49592007737636695</c:v>
                </c:pt>
                <c:pt idx="13">
                  <c:v>0.49592007737636695</c:v>
                </c:pt>
                <c:pt idx="14">
                  <c:v>0.49592007737636695</c:v>
                </c:pt>
                <c:pt idx="15">
                  <c:v>0.49592007737636695</c:v>
                </c:pt>
                <c:pt idx="16">
                  <c:v>0.43598276186712559</c:v>
                </c:pt>
                <c:pt idx="17">
                  <c:v>0.43598276186712559</c:v>
                </c:pt>
                <c:pt idx="18">
                  <c:v>0.43598276186712559</c:v>
                </c:pt>
                <c:pt idx="19">
                  <c:v>0.38742412123490982</c:v>
                </c:pt>
                <c:pt idx="20">
                  <c:v>0.38742412123490982</c:v>
                </c:pt>
                <c:pt idx="21">
                  <c:v>0.38742412123490982</c:v>
                </c:pt>
                <c:pt idx="22">
                  <c:v>0.38742412123490982</c:v>
                </c:pt>
                <c:pt idx="23">
                  <c:v>0.38742412123490982</c:v>
                </c:pt>
                <c:pt idx="24">
                  <c:v>0.38742412123490982</c:v>
                </c:pt>
                <c:pt idx="25">
                  <c:v>0.34007787107126419</c:v>
                </c:pt>
                <c:pt idx="26">
                  <c:v>0.34007787107126419</c:v>
                </c:pt>
              </c:numCache>
            </c:numRef>
          </c:val>
          <c:smooth val="0"/>
        </c:ser>
        <c:ser>
          <c:idx val="3"/>
          <c:order val="3"/>
          <c:tx>
            <c:strRef>
              <c:f>Tabelle1!$E$1:$E$1</c:f>
              <c:strCache>
                <c:ptCount val="1"/>
                <c:pt idx="0">
                  <c:v>Austria:</c:v>
                </c:pt>
              </c:strCache>
            </c:strRef>
          </c:tx>
          <c:spPr>
            <a:ln w="9767">
              <a:solidFill>
                <a:srgbClr val="000000"/>
              </a:solidFill>
              <a:prstDash val="solid"/>
            </a:ln>
          </c:spPr>
          <c:marker>
            <c:symbol val="x"/>
            <c:size val="3"/>
            <c:spPr>
              <a:solidFill>
                <a:srgbClr val="008080"/>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Tabelle1!$E$2:$E$28</c:f>
              <c:numCache>
                <c:formatCode>0.00%</c:formatCode>
                <c:ptCount val="27"/>
                <c:pt idx="0">
                  <c:v>0.38087127442694696</c:v>
                </c:pt>
                <c:pt idx="1">
                  <c:v>0.38087127442694696</c:v>
                </c:pt>
                <c:pt idx="2">
                  <c:v>0.38087127442694696</c:v>
                </c:pt>
                <c:pt idx="3">
                  <c:v>0.38087127442694696</c:v>
                </c:pt>
                <c:pt idx="4">
                  <c:v>0.38087127442694696</c:v>
                </c:pt>
                <c:pt idx="5">
                  <c:v>0.38087127442694696</c:v>
                </c:pt>
                <c:pt idx="6">
                  <c:v>0.38087127442694696</c:v>
                </c:pt>
                <c:pt idx="7">
                  <c:v>0.38087127442694696</c:v>
                </c:pt>
                <c:pt idx="8">
                  <c:v>0.38087127442694696</c:v>
                </c:pt>
                <c:pt idx="9">
                  <c:v>0.38087127442694696</c:v>
                </c:pt>
                <c:pt idx="10">
                  <c:v>0.38087127442694696</c:v>
                </c:pt>
                <c:pt idx="11">
                  <c:v>0.38087127442694696</c:v>
                </c:pt>
                <c:pt idx="12">
                  <c:v>0.38087127442694696</c:v>
                </c:pt>
                <c:pt idx="13">
                  <c:v>0.38087127442694696</c:v>
                </c:pt>
                <c:pt idx="14">
                  <c:v>0.38087127442694696</c:v>
                </c:pt>
                <c:pt idx="15">
                  <c:v>0.17743541649256586</c:v>
                </c:pt>
                <c:pt idx="16">
                  <c:v>0.17743541649256586</c:v>
                </c:pt>
                <c:pt idx="17">
                  <c:v>0.17743541649256586</c:v>
                </c:pt>
                <c:pt idx="18">
                  <c:v>0.17743541649256586</c:v>
                </c:pt>
                <c:pt idx="19">
                  <c:v>0.17743541649256586</c:v>
                </c:pt>
                <c:pt idx="20">
                  <c:v>0.20590034634759954</c:v>
                </c:pt>
                <c:pt idx="21">
                  <c:v>0.20590034634759954</c:v>
                </c:pt>
                <c:pt idx="22">
                  <c:v>0.20590034634759954</c:v>
                </c:pt>
                <c:pt idx="23">
                  <c:v>0.20590034634759954</c:v>
                </c:pt>
                <c:pt idx="24">
                  <c:v>0.30696557642732475</c:v>
                </c:pt>
                <c:pt idx="25">
                  <c:v>0.30696557642732475</c:v>
                </c:pt>
                <c:pt idx="26">
                  <c:v>0.30696557642732475</c:v>
                </c:pt>
              </c:numCache>
            </c:numRef>
          </c:val>
          <c:smooth val="0"/>
        </c:ser>
        <c:ser>
          <c:idx val="5"/>
          <c:order val="4"/>
          <c:tx>
            <c:strRef>
              <c:f>Tabelle1!$F$1:$F$1</c:f>
              <c:strCache>
                <c:ptCount val="1"/>
                <c:pt idx="0">
                  <c:v>UK:</c:v>
                </c:pt>
              </c:strCache>
            </c:strRef>
          </c:tx>
          <c:spPr>
            <a:ln w="9767">
              <a:solidFill>
                <a:srgbClr val="800000"/>
              </a:solidFill>
              <a:prstDash val="solid"/>
            </a:ln>
          </c:spPr>
          <c:marker>
            <c:symbol val="circle"/>
            <c:size val="4"/>
            <c:spPr>
              <a:solidFill>
                <a:srgbClr val="800000"/>
              </a:solidFill>
              <a:ln>
                <a:solidFill>
                  <a:srgbClr val="8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Tabelle1!$F$2:$F$28</c:f>
              <c:numCache>
                <c:formatCode>0.00%</c:formatCode>
                <c:ptCount val="27"/>
                <c:pt idx="0">
                  <c:v>0.49852508797043865</c:v>
                </c:pt>
                <c:pt idx="1">
                  <c:v>0.49852508797043865</c:v>
                </c:pt>
                <c:pt idx="2">
                  <c:v>0.49852508797043865</c:v>
                </c:pt>
                <c:pt idx="3">
                  <c:v>0.49852508797043865</c:v>
                </c:pt>
                <c:pt idx="4">
                  <c:v>0.49852508797043865</c:v>
                </c:pt>
                <c:pt idx="5">
                  <c:v>0.49852508797043865</c:v>
                </c:pt>
                <c:pt idx="6">
                  <c:v>0.49852508797043865</c:v>
                </c:pt>
                <c:pt idx="7">
                  <c:v>0.49852508797043865</c:v>
                </c:pt>
                <c:pt idx="8">
                  <c:v>0.49852508797043865</c:v>
                </c:pt>
                <c:pt idx="9">
                  <c:v>0.47852762155998008</c:v>
                </c:pt>
                <c:pt idx="10">
                  <c:v>0.42883324545715817</c:v>
                </c:pt>
                <c:pt idx="11">
                  <c:v>0.37956205719456226</c:v>
                </c:pt>
                <c:pt idx="12">
                  <c:v>0.33070867401092996</c:v>
                </c:pt>
                <c:pt idx="13">
                  <c:v>0.33070867401092996</c:v>
                </c:pt>
                <c:pt idx="14">
                  <c:v>0.33070867401092996</c:v>
                </c:pt>
                <c:pt idx="15">
                  <c:v>0.33070867401092996</c:v>
                </c:pt>
                <c:pt idx="16">
                  <c:v>0.32098766672194962</c:v>
                </c:pt>
                <c:pt idx="17">
                  <c:v>0.32098766672194962</c:v>
                </c:pt>
                <c:pt idx="18">
                  <c:v>0.31128311777295625</c:v>
                </c:pt>
                <c:pt idx="19">
                  <c:v>0.31128311777295625</c:v>
                </c:pt>
                <c:pt idx="20">
                  <c:v>0.31128311777295625</c:v>
                </c:pt>
                <c:pt idx="21">
                  <c:v>0.31128311777295625</c:v>
                </c:pt>
                <c:pt idx="22">
                  <c:v>0.31128311777295625</c:v>
                </c:pt>
                <c:pt idx="23">
                  <c:v>0.31128311777295625</c:v>
                </c:pt>
                <c:pt idx="24">
                  <c:v>0.29192322798684567</c:v>
                </c:pt>
                <c:pt idx="25">
                  <c:v>0.28226780404802621</c:v>
                </c:pt>
                <c:pt idx="26">
                  <c:v>0.28226780404802621</c:v>
                </c:pt>
              </c:numCache>
            </c:numRef>
          </c:val>
          <c:smooth val="0"/>
        </c:ser>
        <c:ser>
          <c:idx val="6"/>
          <c:order val="5"/>
          <c:tx>
            <c:strRef>
              <c:f>Tabelle1!$H$1:$H$1</c:f>
              <c:strCache>
                <c:ptCount val="1"/>
                <c:pt idx="0">
                  <c:v>Belgium</c:v>
                </c:pt>
              </c:strCache>
            </c:strRef>
          </c:tx>
          <c:spPr>
            <a:ln w="9767">
              <a:solidFill>
                <a:srgbClr val="000000"/>
              </a:solidFill>
              <a:prstDash val="solid"/>
            </a:ln>
          </c:spPr>
          <c:marker>
            <c:symbol val="plus"/>
            <c:size val="3"/>
            <c:spPr>
              <a:no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Tabelle1!$H$2:$H$28</c:f>
              <c:numCache>
                <c:formatCode>0.00%</c:formatCode>
                <c:ptCount val="27"/>
                <c:pt idx="0">
                  <c:v>0.50928676055612898</c:v>
                </c:pt>
                <c:pt idx="1">
                  <c:v>0.50928676055612898</c:v>
                </c:pt>
                <c:pt idx="2">
                  <c:v>0.50928676055612898</c:v>
                </c:pt>
                <c:pt idx="3">
                  <c:v>0.50928676055612898</c:v>
                </c:pt>
                <c:pt idx="4">
                  <c:v>0.50928676055612898</c:v>
                </c:pt>
                <c:pt idx="5">
                  <c:v>0.50928676055612898</c:v>
                </c:pt>
                <c:pt idx="6">
                  <c:v>0.50928676055612898</c:v>
                </c:pt>
                <c:pt idx="7">
                  <c:v>0.50928676055612898</c:v>
                </c:pt>
                <c:pt idx="8">
                  <c:v>0.50928676055612898</c:v>
                </c:pt>
                <c:pt idx="9">
                  <c:v>0.50928676055612898</c:v>
                </c:pt>
                <c:pt idx="10">
                  <c:v>0.4791429419411774</c:v>
                </c:pt>
                <c:pt idx="11">
                  <c:v>0.4791429419411774</c:v>
                </c:pt>
                <c:pt idx="12">
                  <c:v>0.4791429419411774</c:v>
                </c:pt>
                <c:pt idx="13">
                  <c:v>0.4791429419411774</c:v>
                </c:pt>
                <c:pt idx="14">
                  <c:v>0.4589284698348261</c:v>
                </c:pt>
                <c:pt idx="15">
                  <c:v>0.4589284698348261</c:v>
                </c:pt>
                <c:pt idx="16">
                  <c:v>0.4589284698348261</c:v>
                </c:pt>
                <c:pt idx="17">
                  <c:v>0.43861833760655999</c:v>
                </c:pt>
                <c:pt idx="18">
                  <c:v>0.41821186461314969</c:v>
                </c:pt>
                <c:pt idx="19">
                  <c:v>0.41821186461314969</c:v>
                </c:pt>
                <c:pt idx="20">
                  <c:v>0.41821186461314969</c:v>
                </c:pt>
                <c:pt idx="21">
                  <c:v>0.41821186461314969</c:v>
                </c:pt>
                <c:pt idx="22">
                  <c:v>0.41821186461314969</c:v>
                </c:pt>
                <c:pt idx="23">
                  <c:v>0.41821186461314969</c:v>
                </c:pt>
                <c:pt idx="24">
                  <c:v>0.41821186461314969</c:v>
                </c:pt>
                <c:pt idx="25">
                  <c:v>0.41821186461314969</c:v>
                </c:pt>
                <c:pt idx="26">
                  <c:v>0.41821186461314969</c:v>
                </c:pt>
              </c:numCache>
            </c:numRef>
          </c:val>
          <c:smooth val="0"/>
        </c:ser>
        <c:ser>
          <c:idx val="7"/>
          <c:order val="6"/>
          <c:tx>
            <c:strRef>
              <c:f>Tabelle1!$I$1:$I$1</c:f>
              <c:strCache>
                <c:ptCount val="1"/>
                <c:pt idx="0">
                  <c:v>Denmark:</c:v>
                </c:pt>
              </c:strCache>
            </c:strRef>
          </c:tx>
          <c:spPr>
            <a:ln w="9767">
              <a:solidFill>
                <a:srgbClr val="000000"/>
              </a:solidFill>
              <a:prstDash val="solid"/>
            </a:ln>
          </c:spPr>
          <c:marker>
            <c:symbol val="dot"/>
            <c:size val="3"/>
            <c:spPr>
              <a:no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Tabelle1!$I$2:$I$28</c:f>
              <c:numCache>
                <c:formatCode>0.00%</c:formatCode>
                <c:ptCount val="27"/>
                <c:pt idx="0">
                  <c:v>0.31223332008318544</c:v>
                </c:pt>
                <c:pt idx="1">
                  <c:v>0.31223332008318544</c:v>
                </c:pt>
                <c:pt idx="2">
                  <c:v>0.31223332008318544</c:v>
                </c:pt>
                <c:pt idx="3">
                  <c:v>0.31223332008318544</c:v>
                </c:pt>
                <c:pt idx="4">
                  <c:v>0.31223332008318544</c:v>
                </c:pt>
                <c:pt idx="5">
                  <c:v>0.34007787107126419</c:v>
                </c:pt>
                <c:pt idx="6">
                  <c:v>0.34007787107126419</c:v>
                </c:pt>
                <c:pt idx="7">
                  <c:v>0.34007787107126419</c:v>
                </c:pt>
                <c:pt idx="8">
                  <c:v>0.34007787107126419</c:v>
                </c:pt>
                <c:pt idx="9">
                  <c:v>0.34007787107126419</c:v>
                </c:pt>
                <c:pt idx="10">
                  <c:v>0.34007787107126419</c:v>
                </c:pt>
                <c:pt idx="11">
                  <c:v>0.43598276186712559</c:v>
                </c:pt>
                <c:pt idx="12">
                  <c:v>0.43598276186712559</c:v>
                </c:pt>
                <c:pt idx="13">
                  <c:v>0.43598276186712559</c:v>
                </c:pt>
                <c:pt idx="14">
                  <c:v>0.43598276186712559</c:v>
                </c:pt>
                <c:pt idx="15">
                  <c:v>0.43598276186712559</c:v>
                </c:pt>
                <c:pt idx="16">
                  <c:v>0.34007787107126419</c:v>
                </c:pt>
                <c:pt idx="17">
                  <c:v>0.32146872001044935</c:v>
                </c:pt>
                <c:pt idx="18">
                  <c:v>0.2847997387445938</c:v>
                </c:pt>
                <c:pt idx="19">
                  <c:v>0.2847997387445938</c:v>
                </c:pt>
                <c:pt idx="20">
                  <c:v>0.2847997387445938</c:v>
                </c:pt>
                <c:pt idx="21">
                  <c:v>0.2847997387445938</c:v>
                </c:pt>
                <c:pt idx="22">
                  <c:v>0.2847997387445938</c:v>
                </c:pt>
                <c:pt idx="23">
                  <c:v>0.2847997387445938</c:v>
                </c:pt>
                <c:pt idx="24">
                  <c:v>0.2847997387445938</c:v>
                </c:pt>
                <c:pt idx="25">
                  <c:v>0.32098766672194962</c:v>
                </c:pt>
                <c:pt idx="26">
                  <c:v>0.30159498540163476</c:v>
                </c:pt>
              </c:numCache>
            </c:numRef>
          </c:val>
          <c:smooth val="0"/>
        </c:ser>
        <c:ser>
          <c:idx val="8"/>
          <c:order val="7"/>
          <c:tx>
            <c:strRef>
              <c:f>Tabelle1!$J$1:$J$1</c:f>
              <c:strCache>
                <c:ptCount val="1"/>
                <c:pt idx="0">
                  <c:v>France:</c:v>
                </c:pt>
              </c:strCache>
            </c:strRef>
          </c:tx>
          <c:spPr>
            <a:ln w="9767">
              <a:solidFill>
                <a:srgbClr val="008000"/>
              </a:solidFill>
              <a:prstDash val="solid"/>
            </a:ln>
          </c:spPr>
          <c:marker>
            <c:symbol val="diamond"/>
            <c:size val="4"/>
            <c:spPr>
              <a:solidFill>
                <a:srgbClr val="008000"/>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Tabelle1!$J$2:$J$28</c:f>
              <c:numCache>
                <c:formatCode>0.00%</c:formatCode>
                <c:ptCount val="27"/>
                <c:pt idx="0">
                  <c:v>0.3855745284802306</c:v>
                </c:pt>
                <c:pt idx="1">
                  <c:v>0.3855745284802306</c:v>
                </c:pt>
                <c:pt idx="2">
                  <c:v>0.3855745284802306</c:v>
                </c:pt>
                <c:pt idx="3">
                  <c:v>0.3855745284802306</c:v>
                </c:pt>
                <c:pt idx="4">
                  <c:v>0.3855745284802306</c:v>
                </c:pt>
                <c:pt idx="5">
                  <c:v>0.39694245617377116</c:v>
                </c:pt>
                <c:pt idx="6">
                  <c:v>0.3855745284802306</c:v>
                </c:pt>
                <c:pt idx="7">
                  <c:v>0.3855745284802306</c:v>
                </c:pt>
                <c:pt idx="8">
                  <c:v>0.3855745284802306</c:v>
                </c:pt>
                <c:pt idx="9">
                  <c:v>0.3855745284802306</c:v>
                </c:pt>
                <c:pt idx="10">
                  <c:v>0.3855745284802306</c:v>
                </c:pt>
                <c:pt idx="11">
                  <c:v>0.33925323339308522</c:v>
                </c:pt>
                <c:pt idx="12">
                  <c:v>0.33925323339308522</c:v>
                </c:pt>
                <c:pt idx="13">
                  <c:v>0.31244217413211994</c:v>
                </c:pt>
                <c:pt idx="14">
                  <c:v>0.28633211006422593</c:v>
                </c:pt>
                <c:pt idx="15">
                  <c:v>0.26930138342983073</c:v>
                </c:pt>
                <c:pt idx="16">
                  <c:v>0.24430002612994223</c:v>
                </c:pt>
                <c:pt idx="17">
                  <c:v>0.23855815365125774</c:v>
                </c:pt>
                <c:pt idx="18">
                  <c:v>0.2361078011900952</c:v>
                </c:pt>
                <c:pt idx="19">
                  <c:v>0.2361078011900952</c:v>
                </c:pt>
                <c:pt idx="20">
                  <c:v>0.2361078011900952</c:v>
                </c:pt>
                <c:pt idx="21">
                  <c:v>0.2361078011900952</c:v>
                </c:pt>
                <c:pt idx="22">
                  <c:v>0.2361078011900952</c:v>
                </c:pt>
                <c:pt idx="23">
                  <c:v>0.2361078011900952</c:v>
                </c:pt>
                <c:pt idx="24">
                  <c:v>0.2361078011900952</c:v>
                </c:pt>
                <c:pt idx="25">
                  <c:v>0.2361078011900952</c:v>
                </c:pt>
                <c:pt idx="26">
                  <c:v>0.2361078011900952</c:v>
                </c:pt>
              </c:numCache>
            </c:numRef>
          </c:val>
          <c:smooth val="0"/>
        </c:ser>
        <c:ser>
          <c:idx val="9"/>
          <c:order val="8"/>
          <c:tx>
            <c:strRef>
              <c:f>Tabelle1!$K$1:$K$1</c:f>
              <c:strCache>
                <c:ptCount val="1"/>
                <c:pt idx="0">
                  <c:v>Italy:</c:v>
                </c:pt>
              </c:strCache>
            </c:strRef>
          </c:tx>
          <c:spPr>
            <a:ln w="9767">
              <a:solidFill>
                <a:srgbClr val="000000"/>
              </a:solidFill>
              <a:prstDash val="solid"/>
            </a:ln>
          </c:spPr>
          <c:marker>
            <c:symbol val="diamond"/>
            <c:size val="3"/>
            <c:spPr>
              <a:solidFill>
                <a:srgbClr val="CCFFFF"/>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Tabelle1!$K$2:$K$28</c:f>
              <c:numCache>
                <c:formatCode>0.00%</c:formatCode>
                <c:ptCount val="27"/>
                <c:pt idx="0">
                  <c:v>0.3304263974640983</c:v>
                </c:pt>
                <c:pt idx="1">
                  <c:v>0.3304263974640983</c:v>
                </c:pt>
                <c:pt idx="2">
                  <c:v>0.3304263974640983</c:v>
                </c:pt>
                <c:pt idx="3">
                  <c:v>0.3304263974640983</c:v>
                </c:pt>
                <c:pt idx="4">
                  <c:v>0.3304263974640983</c:v>
                </c:pt>
                <c:pt idx="5">
                  <c:v>0.3304263974640983</c:v>
                </c:pt>
                <c:pt idx="6">
                  <c:v>0.3304263974640983</c:v>
                </c:pt>
                <c:pt idx="7">
                  <c:v>0.3304263974640983</c:v>
                </c:pt>
                <c:pt idx="8">
                  <c:v>0.3304263974640983</c:v>
                </c:pt>
                <c:pt idx="9">
                  <c:v>0.3304263974640983</c:v>
                </c:pt>
                <c:pt idx="10">
                  <c:v>0.39309440648474081</c:v>
                </c:pt>
                <c:pt idx="11">
                  <c:v>0.39309440648474081</c:v>
                </c:pt>
                <c:pt idx="12">
                  <c:v>0.39309440648474081</c:v>
                </c:pt>
                <c:pt idx="13">
                  <c:v>0.39309440648474081</c:v>
                </c:pt>
                <c:pt idx="14">
                  <c:v>0.39309440648474081</c:v>
                </c:pt>
                <c:pt idx="15">
                  <c:v>0.39309440648474081</c:v>
                </c:pt>
                <c:pt idx="16">
                  <c:v>0.39309440648474081</c:v>
                </c:pt>
                <c:pt idx="17">
                  <c:v>0.39309440648474081</c:v>
                </c:pt>
                <c:pt idx="18">
                  <c:v>0.39309440648474081</c:v>
                </c:pt>
                <c:pt idx="19">
                  <c:v>0.39309440648474081</c:v>
                </c:pt>
                <c:pt idx="20">
                  <c:v>0.39309440648474081</c:v>
                </c:pt>
                <c:pt idx="21">
                  <c:v>0.39309440648474081</c:v>
                </c:pt>
                <c:pt idx="22">
                  <c:v>0.40343420702783989</c:v>
                </c:pt>
                <c:pt idx="23">
                  <c:v>0.40343420702783989</c:v>
                </c:pt>
                <c:pt idx="24">
                  <c:v>0.40343420702783989</c:v>
                </c:pt>
                <c:pt idx="25">
                  <c:v>0.40343420702783989</c:v>
                </c:pt>
                <c:pt idx="26">
                  <c:v>0.40343420702783989</c:v>
                </c:pt>
              </c:numCache>
            </c:numRef>
          </c:val>
          <c:smooth val="1"/>
        </c:ser>
        <c:ser>
          <c:idx val="11"/>
          <c:order val="9"/>
          <c:tx>
            <c:strRef>
              <c:f>Tabelle1!$L$1:$L$1</c:f>
              <c:strCache>
                <c:ptCount val="1"/>
                <c:pt idx="0">
                  <c:v>Luxembourg:</c:v>
                </c:pt>
              </c:strCache>
            </c:strRef>
          </c:tx>
          <c:spPr>
            <a:ln w="9767">
              <a:solidFill>
                <a:srgbClr val="000000"/>
              </a:solidFill>
              <a:prstDash val="solid"/>
            </a:ln>
          </c:spPr>
          <c:marker>
            <c:symbol val="triangle"/>
            <c:size val="3"/>
            <c:spPr>
              <a:solidFill>
                <a:srgbClr val="FFFF99"/>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Tabelle1!$L$2:$L$28</c:f>
              <c:numCache>
                <c:formatCode>0.00%</c:formatCode>
                <c:ptCount val="27"/>
                <c:pt idx="0">
                  <c:v>0.32098766672194962</c:v>
                </c:pt>
                <c:pt idx="1">
                  <c:v>0.32098766672194962</c:v>
                </c:pt>
                <c:pt idx="2">
                  <c:v>0.32098766672194962</c:v>
                </c:pt>
                <c:pt idx="3">
                  <c:v>0.32098766672194962</c:v>
                </c:pt>
                <c:pt idx="4">
                  <c:v>0.32098766672194962</c:v>
                </c:pt>
                <c:pt idx="5">
                  <c:v>0.32098766672194962</c:v>
                </c:pt>
                <c:pt idx="6">
                  <c:v>0.32098766672194962</c:v>
                </c:pt>
                <c:pt idx="7">
                  <c:v>0.32098766672194962</c:v>
                </c:pt>
                <c:pt idx="8">
                  <c:v>0.32098766672194962</c:v>
                </c:pt>
                <c:pt idx="9">
                  <c:v>0.32098766672194962</c:v>
                </c:pt>
                <c:pt idx="10">
                  <c:v>0.32098766672194962</c:v>
                </c:pt>
                <c:pt idx="11">
                  <c:v>0.32098766672194962</c:v>
                </c:pt>
                <c:pt idx="12">
                  <c:v>0.32098766672194962</c:v>
                </c:pt>
                <c:pt idx="13">
                  <c:v>0.32098766672194962</c:v>
                </c:pt>
                <c:pt idx="14">
                  <c:v>0.32098766672194962</c:v>
                </c:pt>
                <c:pt idx="15">
                  <c:v>0.32098766672194962</c:v>
                </c:pt>
                <c:pt idx="16">
                  <c:v>0.32098766672194962</c:v>
                </c:pt>
                <c:pt idx="17">
                  <c:v>0.31128311777295625</c:v>
                </c:pt>
                <c:pt idx="18">
                  <c:v>0.31128311777295625</c:v>
                </c:pt>
                <c:pt idx="19">
                  <c:v>0.31128311777295625</c:v>
                </c:pt>
                <c:pt idx="20">
                  <c:v>0.31128311777295625</c:v>
                </c:pt>
                <c:pt idx="21">
                  <c:v>0.31128311777295625</c:v>
                </c:pt>
                <c:pt idx="22">
                  <c:v>0.37956205719456226</c:v>
                </c:pt>
                <c:pt idx="23">
                  <c:v>0.37956205719456226</c:v>
                </c:pt>
                <c:pt idx="24">
                  <c:v>0.28226780404802621</c:v>
                </c:pt>
                <c:pt idx="25">
                  <c:v>0.28226780404802621</c:v>
                </c:pt>
                <c:pt idx="26">
                  <c:v>0.28226780404802621</c:v>
                </c:pt>
              </c:numCache>
            </c:numRef>
          </c:val>
          <c:smooth val="0"/>
        </c:ser>
        <c:ser>
          <c:idx val="12"/>
          <c:order val="10"/>
          <c:tx>
            <c:strRef>
              <c:f>Tabelle1!$N$1:$N$1</c:f>
              <c:strCache>
                <c:ptCount val="1"/>
                <c:pt idx="0">
                  <c:v>Spain:</c:v>
                </c:pt>
              </c:strCache>
            </c:strRef>
          </c:tx>
          <c:spPr>
            <a:ln w="9767">
              <a:solidFill>
                <a:srgbClr val="000000"/>
              </a:solidFill>
              <a:prstDash val="solid"/>
            </a:ln>
          </c:spPr>
          <c:marker>
            <c:symbol val="x"/>
            <c:size val="3"/>
            <c:spPr>
              <a:no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Tabelle1!$N$2:$N$28</c:f>
              <c:numCache>
                <c:formatCode>0.00%</c:formatCode>
                <c:ptCount val="27"/>
                <c:pt idx="0">
                  <c:v>0.36189600980550612</c:v>
                </c:pt>
                <c:pt idx="1">
                  <c:v>0.36189600980550612</c:v>
                </c:pt>
                <c:pt idx="2">
                  <c:v>0.36189600980550612</c:v>
                </c:pt>
                <c:pt idx="3">
                  <c:v>0.36189600980550612</c:v>
                </c:pt>
                <c:pt idx="4">
                  <c:v>0.36189600980550612</c:v>
                </c:pt>
                <c:pt idx="5">
                  <c:v>0.36189600980550612</c:v>
                </c:pt>
                <c:pt idx="6">
                  <c:v>0.36189600980550612</c:v>
                </c:pt>
                <c:pt idx="7">
                  <c:v>0.36189600980550612</c:v>
                </c:pt>
                <c:pt idx="8">
                  <c:v>0.36189600980550612</c:v>
                </c:pt>
                <c:pt idx="9">
                  <c:v>0.36189600980550612</c:v>
                </c:pt>
                <c:pt idx="10">
                  <c:v>0.38272485925878119</c:v>
                </c:pt>
                <c:pt idx="11">
                  <c:v>0.38272485925878119</c:v>
                </c:pt>
                <c:pt idx="12">
                  <c:v>0.38272485925878119</c:v>
                </c:pt>
                <c:pt idx="13">
                  <c:v>0.38272485925878119</c:v>
                </c:pt>
                <c:pt idx="14">
                  <c:v>0.38272485925878119</c:v>
                </c:pt>
                <c:pt idx="15">
                  <c:v>0.38272485925878119</c:v>
                </c:pt>
                <c:pt idx="16">
                  <c:v>0.38272485925878119</c:v>
                </c:pt>
                <c:pt idx="17">
                  <c:v>0.38272485925878119</c:v>
                </c:pt>
                <c:pt idx="18">
                  <c:v>0.38272485925878119</c:v>
                </c:pt>
                <c:pt idx="19">
                  <c:v>0.38272485925878119</c:v>
                </c:pt>
                <c:pt idx="20">
                  <c:v>0.38272485925878119</c:v>
                </c:pt>
                <c:pt idx="21">
                  <c:v>0.38272485925878119</c:v>
                </c:pt>
                <c:pt idx="22">
                  <c:v>0.38272485925878119</c:v>
                </c:pt>
                <c:pt idx="23">
                  <c:v>0.38272485925878119</c:v>
                </c:pt>
                <c:pt idx="24">
                  <c:v>0.38272485925878119</c:v>
                </c:pt>
                <c:pt idx="25">
                  <c:v>0.38272485925878119</c:v>
                </c:pt>
                <c:pt idx="26">
                  <c:v>0.38272485925878119</c:v>
                </c:pt>
              </c:numCache>
            </c:numRef>
          </c:val>
          <c:smooth val="0"/>
        </c:ser>
        <c:ser>
          <c:idx val="13"/>
          <c:order val="11"/>
          <c:tx>
            <c:strRef>
              <c:f>Tabelle1!$O$1:$O$1</c:f>
              <c:strCache>
                <c:ptCount val="1"/>
                <c:pt idx="0">
                  <c:v>Portugal:</c:v>
                </c:pt>
              </c:strCache>
            </c:strRef>
          </c:tx>
          <c:spPr>
            <a:ln w="9767">
              <a:solidFill>
                <a:srgbClr val="000000"/>
              </a:solidFill>
              <a:prstDash val="solid"/>
            </a:ln>
          </c:spPr>
          <c:marker>
            <c:symbol val="star"/>
            <c:size val="3"/>
            <c:spPr>
              <a:no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Tabelle1!$O$2:$O$28</c:f>
              <c:numCache>
                <c:formatCode>0.00%</c:formatCode>
                <c:ptCount val="27"/>
                <c:pt idx="0">
                  <c:v>0.39309440648474081</c:v>
                </c:pt>
                <c:pt idx="1">
                  <c:v>0.39309440648474081</c:v>
                </c:pt>
                <c:pt idx="2">
                  <c:v>0.39309440648474081</c:v>
                </c:pt>
                <c:pt idx="3">
                  <c:v>0.39309440648474081</c:v>
                </c:pt>
                <c:pt idx="4">
                  <c:v>0.39309440648474081</c:v>
                </c:pt>
                <c:pt idx="5">
                  <c:v>0.39309440648474081</c:v>
                </c:pt>
                <c:pt idx="6">
                  <c:v>0.39309440648474081</c:v>
                </c:pt>
                <c:pt idx="7">
                  <c:v>0.39309440648474081</c:v>
                </c:pt>
                <c:pt idx="8">
                  <c:v>0.39309440648474081</c:v>
                </c:pt>
                <c:pt idx="9">
                  <c:v>0.39309440648474081</c:v>
                </c:pt>
                <c:pt idx="10">
                  <c:v>0.39309440648474081</c:v>
                </c:pt>
                <c:pt idx="11">
                  <c:v>0.39309440648474081</c:v>
                </c:pt>
                <c:pt idx="12">
                  <c:v>0.39309440648474081</c:v>
                </c:pt>
                <c:pt idx="13">
                  <c:v>0.39309440648474081</c:v>
                </c:pt>
                <c:pt idx="14">
                  <c:v>0.39309440648474081</c:v>
                </c:pt>
                <c:pt idx="15">
                  <c:v>0.39826801708593285</c:v>
                </c:pt>
                <c:pt idx="16">
                  <c:v>0.39309440648474081</c:v>
                </c:pt>
                <c:pt idx="17">
                  <c:v>0.39309440648474081</c:v>
                </c:pt>
                <c:pt idx="18">
                  <c:v>0.39309440648474081</c:v>
                </c:pt>
                <c:pt idx="19">
                  <c:v>0.39309440648474081</c:v>
                </c:pt>
                <c:pt idx="20">
                  <c:v>0.39309440648474081</c:v>
                </c:pt>
                <c:pt idx="21">
                  <c:v>0.39309440648474081</c:v>
                </c:pt>
                <c:pt idx="22">
                  <c:v>0.39309440648474081</c:v>
                </c:pt>
                <c:pt idx="23">
                  <c:v>0.39309440648474081</c:v>
                </c:pt>
                <c:pt idx="24">
                  <c:v>0.37232543679721858</c:v>
                </c:pt>
                <c:pt idx="25">
                  <c:v>0.37232543679721858</c:v>
                </c:pt>
                <c:pt idx="26">
                  <c:v>0.35143644824193487</c:v>
                </c:pt>
              </c:numCache>
            </c:numRef>
          </c:val>
          <c:smooth val="0"/>
        </c:ser>
        <c:ser>
          <c:idx val="14"/>
          <c:order val="12"/>
          <c:tx>
            <c:strRef>
              <c:f>Tabelle1!$P$1:$P$1</c:f>
              <c:strCache>
                <c:ptCount val="1"/>
                <c:pt idx="0">
                  <c:v>Netherlands:</c:v>
                </c:pt>
              </c:strCache>
            </c:strRef>
          </c:tx>
          <c:spPr>
            <a:ln w="9767">
              <a:solidFill>
                <a:srgbClr val="000000"/>
              </a:solidFill>
              <a:prstDash val="solid"/>
            </a:ln>
          </c:spPr>
          <c:marker>
            <c:symbol val="circle"/>
            <c:size val="4"/>
            <c:spPr>
              <a:solidFill>
                <a:srgbClr val="CC99FF"/>
              </a:solidFill>
              <a:ln>
                <a:solidFill>
                  <a:srgbClr val="0000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Tabelle1!$P$2:$P$28</c:f>
              <c:numCache>
                <c:formatCode>0.00%</c:formatCode>
                <c:ptCount val="27"/>
                <c:pt idx="0">
                  <c:v>0.50928676055612898</c:v>
                </c:pt>
                <c:pt idx="1">
                  <c:v>0.50928676055612898</c:v>
                </c:pt>
                <c:pt idx="2">
                  <c:v>0.50928676055612898</c:v>
                </c:pt>
                <c:pt idx="3">
                  <c:v>0.50928676055612898</c:v>
                </c:pt>
                <c:pt idx="4">
                  <c:v>0.50928676055612898</c:v>
                </c:pt>
                <c:pt idx="5">
                  <c:v>0.50928676055612898</c:v>
                </c:pt>
                <c:pt idx="6">
                  <c:v>0.50928676055612898</c:v>
                </c:pt>
                <c:pt idx="7">
                  <c:v>0.50928676055612898</c:v>
                </c:pt>
                <c:pt idx="8">
                  <c:v>0.50928676055612898</c:v>
                </c:pt>
                <c:pt idx="9">
                  <c:v>0.50928676055612898</c:v>
                </c:pt>
                <c:pt idx="10">
                  <c:v>0.50928676055612898</c:v>
                </c:pt>
                <c:pt idx="11">
                  <c:v>0.4589284698348261</c:v>
                </c:pt>
                <c:pt idx="12">
                  <c:v>0.4589284698348261</c:v>
                </c:pt>
                <c:pt idx="13">
                  <c:v>0.4589284698348261</c:v>
                </c:pt>
                <c:pt idx="14">
                  <c:v>0.4487854036253292</c:v>
                </c:pt>
                <c:pt idx="15">
                  <c:v>0.37710714131789808</c:v>
                </c:pt>
                <c:pt idx="16">
                  <c:v>0.37710714131789808</c:v>
                </c:pt>
                <c:pt idx="17">
                  <c:v>0.37710714131789808</c:v>
                </c:pt>
                <c:pt idx="18">
                  <c:v>0.37710714131789808</c:v>
                </c:pt>
                <c:pt idx="19">
                  <c:v>0.37710714131789808</c:v>
                </c:pt>
                <c:pt idx="20">
                  <c:v>0.37710714131789808</c:v>
                </c:pt>
                <c:pt idx="21">
                  <c:v>0.37710714131789808</c:v>
                </c:pt>
                <c:pt idx="22">
                  <c:v>0.37710714131789808</c:v>
                </c:pt>
                <c:pt idx="23">
                  <c:v>0.37710714131789808</c:v>
                </c:pt>
                <c:pt idx="24">
                  <c:v>0.37710714131789808</c:v>
                </c:pt>
                <c:pt idx="25">
                  <c:v>0.37710714131789808</c:v>
                </c:pt>
                <c:pt idx="26">
                  <c:v>0.37710714131789808</c:v>
                </c:pt>
              </c:numCache>
            </c:numRef>
          </c:val>
          <c:smooth val="0"/>
        </c:ser>
        <c:ser>
          <c:idx val="15"/>
          <c:order val="13"/>
          <c:tx>
            <c:strRef>
              <c:f>Tabelle1!$Q$1:$Q$1</c:f>
              <c:strCache>
                <c:ptCount val="1"/>
                <c:pt idx="0">
                  <c:v>Ireland:</c:v>
                </c:pt>
              </c:strCache>
            </c:strRef>
          </c:tx>
          <c:spPr>
            <a:ln w="9767">
              <a:solidFill>
                <a:srgbClr val="FF6600"/>
              </a:solidFill>
              <a:prstDash val="solid"/>
            </a:ln>
          </c:spPr>
          <c:marker>
            <c:symbol val="square"/>
            <c:size val="4"/>
            <c:spPr>
              <a:solidFill>
                <a:srgbClr val="FF6600"/>
              </a:solidFill>
              <a:ln>
                <a:solidFill>
                  <a:srgbClr val="FF6600"/>
                </a:solidFill>
                <a:prstDash val="solid"/>
              </a:ln>
            </c:spPr>
          </c:marker>
          <c:cat>
            <c:strRef>
              <c:f>Tabelle1!$A$2:$A$28</c:f>
              <c:strCache>
                <c:ptCount val="27"/>
                <c:pt idx="0">
                  <c:v>74</c:v>
                </c:pt>
                <c:pt idx="1">
                  <c:v>75</c:v>
                </c:pt>
                <c:pt idx="2">
                  <c:v>76</c:v>
                </c:pt>
                <c:pt idx="3">
                  <c:v>77</c:v>
                </c:pt>
                <c:pt idx="4">
                  <c:v>78</c:v>
                </c:pt>
                <c:pt idx="5">
                  <c:v>79</c:v>
                </c:pt>
                <c:pt idx="6">
                  <c:v>80</c:v>
                </c:pt>
                <c:pt idx="7">
                  <c:v>81</c:v>
                </c:pt>
                <c:pt idx="8">
                  <c:v>82</c:v>
                </c:pt>
                <c:pt idx="9">
                  <c:v>83</c:v>
                </c:pt>
                <c:pt idx="10">
                  <c:v>84</c:v>
                </c:pt>
                <c:pt idx="11">
                  <c:v>85</c:v>
                </c:pt>
                <c:pt idx="12">
                  <c:v>86</c:v>
                </c:pt>
                <c:pt idx="13">
                  <c:v>87</c:v>
                </c:pt>
                <c:pt idx="14">
                  <c:v>88</c:v>
                </c:pt>
                <c:pt idx="15">
                  <c:v>89</c:v>
                </c:pt>
                <c:pt idx="16">
                  <c:v>90</c:v>
                </c:pt>
                <c:pt idx="17">
                  <c:v>91</c:v>
                </c:pt>
                <c:pt idx="18">
                  <c:v>92</c:v>
                </c:pt>
                <c:pt idx="19">
                  <c:v>93</c:v>
                </c:pt>
                <c:pt idx="20">
                  <c:v>94</c:v>
                </c:pt>
                <c:pt idx="21">
                  <c:v>95</c:v>
                </c:pt>
                <c:pt idx="22">
                  <c:v>96</c:v>
                </c:pt>
                <c:pt idx="23">
                  <c:v>97</c:v>
                </c:pt>
                <c:pt idx="24">
                  <c:v>98</c:v>
                </c:pt>
                <c:pt idx="25">
                  <c:v>99</c:v>
                </c:pt>
                <c:pt idx="26">
                  <c:v>00</c:v>
                </c:pt>
              </c:strCache>
            </c:strRef>
          </c:cat>
          <c:val>
            <c:numRef>
              <c:f>Tabelle1!$Q$2:$Q$28</c:f>
              <c:numCache>
                <c:formatCode>0.00%</c:formatCode>
                <c:ptCount val="27"/>
                <c:pt idx="0">
                  <c:v>0.46488767878509329</c:v>
                </c:pt>
                <c:pt idx="1">
                  <c:v>0.46488767878509329</c:v>
                </c:pt>
                <c:pt idx="2">
                  <c:v>0.41548120897294072</c:v>
                </c:pt>
                <c:pt idx="3">
                  <c:v>0.41548120897294072</c:v>
                </c:pt>
                <c:pt idx="4">
                  <c:v>0.41548120897294072</c:v>
                </c:pt>
                <c:pt idx="5">
                  <c:v>0.41548120897294072</c:v>
                </c:pt>
                <c:pt idx="6">
                  <c:v>0.46488767878509329</c:v>
                </c:pt>
                <c:pt idx="7">
                  <c:v>0.46488767878509329</c:v>
                </c:pt>
                <c:pt idx="8">
                  <c:v>0.46488767878509329</c:v>
                </c:pt>
                <c:pt idx="9">
                  <c:v>0.46488767878509329</c:v>
                </c:pt>
                <c:pt idx="10">
                  <c:v>0.46488767878509329</c:v>
                </c:pt>
                <c:pt idx="11">
                  <c:v>0.46488767878509329</c:v>
                </c:pt>
                <c:pt idx="12">
                  <c:v>0.46488767878509329</c:v>
                </c:pt>
                <c:pt idx="13">
                  <c:v>0.43516087703861878</c:v>
                </c:pt>
                <c:pt idx="14">
                  <c:v>0.43516087703861878</c:v>
                </c:pt>
                <c:pt idx="15">
                  <c:v>0.39591102433863234</c:v>
                </c:pt>
                <c:pt idx="16">
                  <c:v>0.39591102433863234</c:v>
                </c:pt>
                <c:pt idx="17">
                  <c:v>0.3667590385599202</c:v>
                </c:pt>
                <c:pt idx="18">
                  <c:v>0.3667590385599202</c:v>
                </c:pt>
                <c:pt idx="19">
                  <c:v>0.3667590385599202</c:v>
                </c:pt>
                <c:pt idx="20">
                  <c:v>0.3667590385599202</c:v>
                </c:pt>
                <c:pt idx="21">
                  <c:v>0.34745859847576133</c:v>
                </c:pt>
                <c:pt idx="22">
                  <c:v>0.34745859847576133</c:v>
                </c:pt>
                <c:pt idx="23">
                  <c:v>0.32826449679060099</c:v>
                </c:pt>
                <c:pt idx="24">
                  <c:v>0.25253408903400199</c:v>
                </c:pt>
                <c:pt idx="25">
                  <c:v>0.25253408903400199</c:v>
                </c:pt>
                <c:pt idx="26">
                  <c:v>0.22455904990071854</c:v>
                </c:pt>
              </c:numCache>
            </c:numRef>
          </c:val>
          <c:smooth val="0"/>
        </c:ser>
        <c:dLbls>
          <c:showLegendKey val="0"/>
          <c:showVal val="0"/>
          <c:showCatName val="0"/>
          <c:showSerName val="0"/>
          <c:showPercent val="0"/>
          <c:showBubbleSize val="0"/>
        </c:dLbls>
        <c:marker val="1"/>
        <c:smooth val="0"/>
        <c:axId val="205036544"/>
        <c:axId val="205039104"/>
      </c:lineChart>
      <c:catAx>
        <c:axId val="205036544"/>
        <c:scaling>
          <c:orientation val="minMax"/>
        </c:scaling>
        <c:delete val="0"/>
        <c:axPos val="b"/>
        <c:title>
          <c:tx>
            <c:rich>
              <a:bodyPr/>
              <a:lstStyle/>
              <a:p>
                <a:pPr>
                  <a:defRPr sz="731" b="1" i="0" u="none" strike="noStrike" baseline="0">
                    <a:solidFill>
                      <a:srgbClr val="000000"/>
                    </a:solidFill>
                    <a:latin typeface="Arial"/>
                    <a:ea typeface="Arial"/>
                    <a:cs typeface="Arial"/>
                  </a:defRPr>
                </a:pPr>
                <a:r>
                  <a:rPr lang="en-US"/>
                  <a:t>year</a:t>
                </a:r>
              </a:p>
            </c:rich>
          </c:tx>
          <c:layout>
            <c:manualLayout>
              <c:xMode val="edge"/>
              <c:yMode val="edge"/>
              <c:x val="0.4502212389380531"/>
              <c:y val="0.95399188092016241"/>
            </c:manualLayout>
          </c:layout>
          <c:overlay val="0"/>
          <c:spPr>
            <a:noFill/>
            <a:ln w="19533">
              <a:noFill/>
            </a:ln>
          </c:spPr>
        </c:title>
        <c:numFmt formatCode="General" sourceLinked="1"/>
        <c:majorTickMark val="out"/>
        <c:minorTickMark val="none"/>
        <c:tickLblPos val="nextTo"/>
        <c:spPr>
          <a:ln w="2442">
            <a:solidFill>
              <a:srgbClr val="000000"/>
            </a:solidFill>
            <a:prstDash val="solid"/>
          </a:ln>
        </c:spPr>
        <c:txPr>
          <a:bodyPr rot="0" vert="horz"/>
          <a:lstStyle/>
          <a:p>
            <a:pPr>
              <a:defRPr sz="731" b="0" i="0" u="none" strike="noStrike" baseline="0">
                <a:solidFill>
                  <a:srgbClr val="000000"/>
                </a:solidFill>
                <a:latin typeface="Arial"/>
                <a:ea typeface="Arial"/>
                <a:cs typeface="Arial"/>
              </a:defRPr>
            </a:pPr>
            <a:endParaRPr lang="fr-FR"/>
          </a:p>
        </c:txPr>
        <c:crossAx val="205039104"/>
        <c:crosses val="autoZero"/>
        <c:auto val="1"/>
        <c:lblAlgn val="ctr"/>
        <c:lblOffset val="100"/>
        <c:tickLblSkip val="1"/>
        <c:tickMarkSkip val="1"/>
        <c:noMultiLvlLbl val="0"/>
      </c:catAx>
      <c:valAx>
        <c:axId val="205039104"/>
        <c:scaling>
          <c:orientation val="minMax"/>
        </c:scaling>
        <c:delete val="0"/>
        <c:axPos val="l"/>
        <c:majorGridlines>
          <c:spPr>
            <a:ln w="2442">
              <a:solidFill>
                <a:srgbClr val="000000"/>
              </a:solidFill>
              <a:prstDash val="solid"/>
            </a:ln>
          </c:spPr>
        </c:majorGridlines>
        <c:title>
          <c:tx>
            <c:rich>
              <a:bodyPr/>
              <a:lstStyle/>
              <a:p>
                <a:pPr>
                  <a:defRPr sz="731" b="1" i="0" u="none" strike="noStrike" baseline="0">
                    <a:solidFill>
                      <a:srgbClr val="000000"/>
                    </a:solidFill>
                    <a:latin typeface="Arial"/>
                    <a:ea typeface="Arial"/>
                    <a:cs typeface="Arial"/>
                  </a:defRPr>
                </a:pPr>
                <a:r>
                  <a:rPr lang="en-US"/>
                  <a:t>%</a:t>
                </a:r>
              </a:p>
            </c:rich>
          </c:tx>
          <c:layout>
            <c:manualLayout>
              <c:xMode val="edge"/>
              <c:yMode val="edge"/>
              <c:x val="1.2168141592920354E-2"/>
              <c:y val="0.46008119079837617"/>
            </c:manualLayout>
          </c:layout>
          <c:overlay val="0"/>
          <c:spPr>
            <a:noFill/>
            <a:ln w="19533">
              <a:noFill/>
            </a:ln>
          </c:spPr>
        </c:title>
        <c:numFmt formatCode="0%" sourceLinked="0"/>
        <c:majorTickMark val="out"/>
        <c:minorTickMark val="none"/>
        <c:tickLblPos val="nextTo"/>
        <c:spPr>
          <a:ln w="2442">
            <a:solidFill>
              <a:srgbClr val="000000"/>
            </a:solidFill>
            <a:prstDash val="solid"/>
          </a:ln>
        </c:spPr>
        <c:txPr>
          <a:bodyPr rot="0" vert="horz"/>
          <a:lstStyle/>
          <a:p>
            <a:pPr>
              <a:defRPr sz="731" b="0" i="0" u="none" strike="noStrike" baseline="0">
                <a:solidFill>
                  <a:srgbClr val="000000"/>
                </a:solidFill>
                <a:latin typeface="Arial"/>
                <a:ea typeface="Arial"/>
                <a:cs typeface="Arial"/>
              </a:defRPr>
            </a:pPr>
            <a:endParaRPr lang="fr-FR"/>
          </a:p>
        </c:txPr>
        <c:crossAx val="205036544"/>
        <c:crosses val="autoZero"/>
        <c:crossBetween val="between"/>
      </c:valAx>
      <c:spPr>
        <a:noFill/>
        <a:ln w="25400">
          <a:noFill/>
        </a:ln>
      </c:spPr>
    </c:plotArea>
    <c:legend>
      <c:legendPos val="r"/>
      <c:layout>
        <c:manualLayout>
          <c:xMode val="edge"/>
          <c:yMode val="edge"/>
          <c:x val="0.80524295373808663"/>
          <c:y val="0.34239519539224261"/>
          <c:w val="0.12721238938053098"/>
          <c:h val="0.39918809201623817"/>
        </c:manualLayout>
      </c:layout>
      <c:overlay val="0"/>
      <c:spPr>
        <a:solidFill>
          <a:srgbClr val="FFFFFF"/>
        </a:solidFill>
        <a:ln w="2442">
          <a:solidFill>
            <a:srgbClr val="000000"/>
          </a:solidFill>
          <a:prstDash val="solid"/>
        </a:ln>
      </c:spPr>
      <c:txPr>
        <a:bodyPr/>
        <a:lstStyle/>
        <a:p>
          <a:pPr>
            <a:defRPr sz="669" b="0" i="0" u="none" strike="noStrike" baseline="0">
              <a:solidFill>
                <a:srgbClr val="000000"/>
              </a:solidFill>
              <a:latin typeface="Arial"/>
              <a:ea typeface="Arial"/>
              <a:cs typeface="Arial"/>
            </a:defRPr>
          </a:pPr>
          <a:endParaRPr lang="fr-FR"/>
        </a:p>
      </c:txPr>
    </c:legend>
    <c:plotVisOnly val="1"/>
    <c:dispBlanksAs val="gap"/>
    <c:showDLblsOverMax val="0"/>
  </c:chart>
  <c:spPr>
    <a:noFill/>
    <a:ln>
      <a:noFill/>
    </a:ln>
  </c:spPr>
  <c:txPr>
    <a:bodyPr/>
    <a:lstStyle/>
    <a:p>
      <a:pPr>
        <a:defRPr sz="731" b="0" i="0" u="none" strike="noStrike" baseline="0">
          <a:solidFill>
            <a:srgbClr val="000000"/>
          </a:solidFill>
          <a:latin typeface="Arial"/>
          <a:ea typeface="Arial"/>
          <a:cs typeface="Arial"/>
        </a:defRPr>
      </a:pPr>
      <a:endParaRPr lang="fr-FR"/>
    </a:p>
  </c:txPr>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20AF5-4503-46B5-A810-CFD90579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8362</Words>
  <Characters>45996</Characters>
  <Application>Microsoft Office Word</Application>
  <DocSecurity>0</DocSecurity>
  <Lines>383</Lines>
  <Paragraphs>108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 Schwemmer</dc:creator>
  <cp:lastModifiedBy>Laurence Vincent</cp:lastModifiedBy>
  <cp:revision>2</cp:revision>
  <cp:lastPrinted>2019-08-15T07:57:00Z</cp:lastPrinted>
  <dcterms:created xsi:type="dcterms:W3CDTF">2019-10-24T09:29:00Z</dcterms:created>
  <dcterms:modified xsi:type="dcterms:W3CDTF">2019-10-24T09:29:00Z</dcterms:modified>
</cp:coreProperties>
</file>